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DD05" w14:textId="77777777" w:rsidR="00F93A67" w:rsidRDefault="00F93A67" w:rsidP="004A40DD">
      <w:pPr>
        <w:tabs>
          <w:tab w:val="left" w:pos="709"/>
        </w:tabs>
        <w:spacing w:before="29" w:after="0" w:line="276" w:lineRule="auto"/>
        <w:ind w:right="660"/>
        <w:rPr>
          <w:rFonts w:eastAsia="Arial" w:cstheme="minorHAnsi"/>
          <w:b/>
          <w:bCs/>
          <w:sz w:val="24"/>
          <w:szCs w:val="24"/>
          <w:lang w:val="en-US"/>
        </w:rPr>
      </w:pPr>
      <w:r>
        <w:rPr>
          <w:noProof/>
          <w:lang w:val="en-US"/>
        </w:rPr>
        <w:drawing>
          <wp:anchor distT="0" distB="0" distL="114300" distR="114300" simplePos="0" relativeHeight="251660288" behindDoc="1" locked="0" layoutInCell="1" allowOverlap="1" wp14:anchorId="3316ACCB" wp14:editId="6B31033A">
            <wp:simplePos x="0" y="0"/>
            <wp:positionH relativeFrom="page">
              <wp:posOffset>914400</wp:posOffset>
            </wp:positionH>
            <wp:positionV relativeFrom="paragraph">
              <wp:posOffset>-574910</wp:posOffset>
            </wp:positionV>
            <wp:extent cx="2022475" cy="748038"/>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2022475" cy="748038"/>
                    </a:xfrm>
                    <a:prstGeom prst="rect">
                      <a:avLst/>
                    </a:prstGeom>
                  </pic:spPr>
                </pic:pic>
              </a:graphicData>
            </a:graphic>
            <wp14:sizeRelV relativeFrom="margin">
              <wp14:pctHeight>0</wp14:pctHeight>
            </wp14:sizeRelV>
          </wp:anchor>
        </w:drawing>
      </w:r>
    </w:p>
    <w:p w14:paraId="2984F83D" w14:textId="77777777" w:rsidR="00F93A67" w:rsidRDefault="00F93A67" w:rsidP="004A40DD">
      <w:pPr>
        <w:tabs>
          <w:tab w:val="left" w:pos="709"/>
        </w:tabs>
        <w:spacing w:before="29" w:after="0" w:line="276" w:lineRule="auto"/>
        <w:ind w:right="660"/>
        <w:rPr>
          <w:rFonts w:eastAsia="Arial" w:cstheme="minorHAnsi"/>
          <w:b/>
          <w:bCs/>
          <w:sz w:val="24"/>
          <w:szCs w:val="24"/>
          <w:lang w:val="en-US"/>
        </w:rPr>
      </w:pPr>
    </w:p>
    <w:p w14:paraId="74C6C115" w14:textId="02134AAF" w:rsidR="00BF0F90" w:rsidRDefault="00112560" w:rsidP="004A40DD">
      <w:pPr>
        <w:tabs>
          <w:tab w:val="left" w:pos="709"/>
        </w:tabs>
        <w:spacing w:before="29" w:after="0" w:line="276" w:lineRule="auto"/>
        <w:ind w:right="660"/>
        <w:rPr>
          <w:rFonts w:eastAsia="Arial" w:cstheme="minorHAnsi"/>
          <w:b/>
          <w:bCs/>
          <w:sz w:val="24"/>
          <w:szCs w:val="24"/>
          <w:lang w:val="en-US"/>
        </w:rPr>
      </w:pPr>
      <w:r w:rsidRPr="008D0449">
        <w:rPr>
          <w:rFonts w:eastAsia="Arial" w:cstheme="minorHAnsi"/>
          <w:b/>
          <w:bCs/>
          <w:sz w:val="24"/>
          <w:szCs w:val="24"/>
          <w:lang w:val="en-US"/>
        </w:rPr>
        <w:t>S</w:t>
      </w:r>
      <w:r w:rsidR="00BF0F90" w:rsidRPr="008D0449">
        <w:rPr>
          <w:rFonts w:eastAsia="Arial" w:cstheme="minorHAnsi"/>
          <w:b/>
          <w:bCs/>
          <w:sz w:val="24"/>
          <w:szCs w:val="24"/>
          <w:lang w:val="en-US"/>
        </w:rPr>
        <w:t>A</w:t>
      </w:r>
      <w:r w:rsidR="00BF0F90">
        <w:rPr>
          <w:rFonts w:eastAsia="Arial" w:cstheme="minorHAnsi"/>
          <w:b/>
          <w:bCs/>
          <w:sz w:val="24"/>
          <w:szCs w:val="24"/>
          <w:lang w:val="en-US"/>
        </w:rPr>
        <w:t xml:space="preserve">SC </w:t>
      </w:r>
      <w:r w:rsidR="00BF0F90" w:rsidRPr="00AE741E">
        <w:rPr>
          <w:rFonts w:eastAsia="Arial" w:cstheme="minorHAnsi"/>
          <w:b/>
          <w:bCs/>
          <w:sz w:val="24"/>
          <w:szCs w:val="24"/>
          <w:lang w:val="en-US"/>
        </w:rPr>
        <w:t>Assessment</w:t>
      </w:r>
      <w:r w:rsidR="00BF0F90">
        <w:rPr>
          <w:rFonts w:eastAsia="Arial" w:cstheme="minorHAnsi"/>
          <w:b/>
          <w:bCs/>
          <w:sz w:val="24"/>
          <w:szCs w:val="24"/>
          <w:lang w:val="en-US"/>
        </w:rPr>
        <w:t xml:space="preserve"> </w:t>
      </w:r>
      <w:proofErr w:type="spellStart"/>
      <w:r w:rsidR="00BF0F90" w:rsidRPr="00AE741E">
        <w:rPr>
          <w:rFonts w:eastAsia="Arial" w:cstheme="minorHAnsi"/>
          <w:b/>
          <w:bCs/>
          <w:sz w:val="24"/>
          <w:szCs w:val="24"/>
          <w:lang w:val="en-US"/>
        </w:rPr>
        <w:t>Practising</w:t>
      </w:r>
      <w:proofErr w:type="spellEnd"/>
      <w:r w:rsidR="00BF0F90" w:rsidRPr="00AE741E">
        <w:rPr>
          <w:rFonts w:eastAsia="Arial" w:cstheme="minorHAnsi"/>
          <w:b/>
          <w:bCs/>
          <w:sz w:val="24"/>
          <w:szCs w:val="24"/>
          <w:lang w:val="en-US"/>
        </w:rPr>
        <w:t xml:space="preserve"> Certificate</w:t>
      </w:r>
      <w:r w:rsidR="00BF0F90">
        <w:rPr>
          <w:rFonts w:eastAsia="Arial" w:cstheme="minorHAnsi"/>
          <w:b/>
          <w:bCs/>
          <w:sz w:val="24"/>
          <w:szCs w:val="24"/>
          <w:lang w:val="en-US"/>
        </w:rPr>
        <w:t xml:space="preserve"> Report</w:t>
      </w:r>
      <w:r w:rsidR="00BF0F90" w:rsidRPr="00AE741E">
        <w:rPr>
          <w:rFonts w:eastAsia="Arial" w:cstheme="minorHAnsi"/>
          <w:b/>
          <w:bCs/>
          <w:sz w:val="24"/>
          <w:szCs w:val="24"/>
          <w:lang w:val="en-US"/>
        </w:rPr>
        <w:t xml:space="preserve"> </w:t>
      </w:r>
      <w:r w:rsidR="00BF0F90">
        <w:rPr>
          <w:rFonts w:eastAsia="Arial" w:cstheme="minorHAnsi"/>
          <w:b/>
          <w:bCs/>
          <w:sz w:val="24"/>
          <w:szCs w:val="24"/>
          <w:lang w:val="en-US"/>
        </w:rPr>
        <w:t>Criteria</w:t>
      </w:r>
      <w:r w:rsidR="008213EE">
        <w:rPr>
          <w:rFonts w:eastAsia="Arial" w:cstheme="minorHAnsi"/>
          <w:b/>
          <w:bCs/>
          <w:sz w:val="24"/>
          <w:szCs w:val="24"/>
          <w:lang w:val="en-US"/>
        </w:rPr>
        <w:t xml:space="preserve"> </w:t>
      </w:r>
    </w:p>
    <w:p w14:paraId="41C4EF1C" w14:textId="38E1BD3F" w:rsidR="00BF0F90" w:rsidRPr="008213EE" w:rsidRDefault="008213EE" w:rsidP="00AD0FFE">
      <w:pPr>
        <w:tabs>
          <w:tab w:val="left" w:pos="709"/>
        </w:tabs>
        <w:spacing w:before="29" w:after="0" w:line="276" w:lineRule="auto"/>
        <w:ind w:left="709" w:right="660"/>
        <w:jc w:val="right"/>
        <w:rPr>
          <w:rFonts w:eastAsia="Arial" w:cstheme="minorHAnsi"/>
          <w:sz w:val="24"/>
          <w:szCs w:val="24"/>
          <w:lang w:val="en-US"/>
        </w:rPr>
      </w:pPr>
      <w:r w:rsidRPr="008213EE">
        <w:rPr>
          <w:rFonts w:eastAsia="Arial" w:cstheme="minorHAnsi"/>
          <w:sz w:val="24"/>
          <w:szCs w:val="24"/>
          <w:lang w:val="en-US"/>
        </w:rPr>
        <w:t xml:space="preserve">[effective </w:t>
      </w:r>
      <w:r w:rsidRPr="008D0449">
        <w:rPr>
          <w:rFonts w:eastAsia="Arial" w:cstheme="minorHAnsi"/>
          <w:sz w:val="24"/>
          <w:szCs w:val="24"/>
          <w:lang w:val="en-US"/>
        </w:rPr>
        <w:t>date 1 January 20</w:t>
      </w:r>
      <w:r w:rsidR="00470E43" w:rsidRPr="008D0449">
        <w:rPr>
          <w:rFonts w:eastAsia="Arial" w:cstheme="minorHAnsi"/>
          <w:sz w:val="24"/>
          <w:szCs w:val="24"/>
          <w:lang w:val="en-US"/>
        </w:rPr>
        <w:t>26</w:t>
      </w:r>
      <w:r w:rsidRPr="008D0449">
        <w:rPr>
          <w:rFonts w:eastAsia="Arial" w:cstheme="minorHAnsi"/>
          <w:sz w:val="24"/>
          <w:szCs w:val="24"/>
          <w:lang w:val="en-US"/>
        </w:rPr>
        <w:t>]</w:t>
      </w:r>
    </w:p>
    <w:p w14:paraId="530D57E0" w14:textId="77777777" w:rsidR="008213EE" w:rsidRDefault="008213EE" w:rsidP="004A40DD">
      <w:pPr>
        <w:tabs>
          <w:tab w:val="left" w:pos="709"/>
        </w:tabs>
        <w:spacing w:before="29" w:after="0" w:line="276" w:lineRule="auto"/>
        <w:ind w:right="660"/>
        <w:rPr>
          <w:rFonts w:eastAsia="Arial" w:cstheme="minorHAnsi"/>
          <w:b/>
          <w:bCs/>
          <w:sz w:val="24"/>
          <w:szCs w:val="24"/>
          <w:lang w:val="en-US"/>
        </w:rPr>
      </w:pPr>
    </w:p>
    <w:p w14:paraId="7D128B29" w14:textId="77777777" w:rsidR="00AE741E" w:rsidRPr="00AE741E" w:rsidRDefault="00AE741E" w:rsidP="004A40DD">
      <w:pPr>
        <w:tabs>
          <w:tab w:val="left" w:pos="709"/>
        </w:tabs>
        <w:spacing w:before="29" w:after="0" w:line="276" w:lineRule="auto"/>
        <w:ind w:right="1045"/>
        <w:rPr>
          <w:rFonts w:eastAsia="Arial" w:cstheme="minorHAnsi"/>
          <w:b/>
          <w:bCs/>
          <w:sz w:val="24"/>
          <w:szCs w:val="24"/>
          <w:lang w:val="en-US"/>
        </w:rPr>
      </w:pPr>
    </w:p>
    <w:p w14:paraId="5E474C24" w14:textId="5E8A6494" w:rsidR="00AE741E" w:rsidRDefault="004B4F7D" w:rsidP="00D10629">
      <w:pPr>
        <w:pStyle w:val="NoSpacing"/>
        <w:tabs>
          <w:tab w:val="left" w:pos="6786"/>
        </w:tabs>
        <w:spacing w:line="276" w:lineRule="auto"/>
        <w:rPr>
          <w:sz w:val="24"/>
        </w:rPr>
      </w:pPr>
      <w:bookmarkStart w:id="0" w:name="_Hlk25919173"/>
      <w:r w:rsidRPr="004B4F7D">
        <w:rPr>
          <w:sz w:val="24"/>
        </w:rPr>
        <w:t>The APC renewal process provides an opportunity for individual professional development through feedback on assessment reports. It also enables issuing bodies to support the overarching goal of enhancing and maintaining high standards in assessment practic</w:t>
      </w:r>
      <w:bookmarkEnd w:id="0"/>
      <w:r w:rsidR="001D6E81">
        <w:rPr>
          <w:sz w:val="24"/>
        </w:rPr>
        <w:t xml:space="preserve">e. </w:t>
      </w:r>
    </w:p>
    <w:p w14:paraId="1853D286" w14:textId="77777777" w:rsidR="004B4F7D" w:rsidRDefault="004B4F7D" w:rsidP="00D10629">
      <w:pPr>
        <w:pStyle w:val="NoSpacing"/>
        <w:tabs>
          <w:tab w:val="left" w:pos="6786"/>
        </w:tabs>
        <w:spacing w:line="276" w:lineRule="auto"/>
        <w:rPr>
          <w:sz w:val="24"/>
        </w:rPr>
      </w:pPr>
    </w:p>
    <w:p w14:paraId="7040FA9C" w14:textId="70FD7548" w:rsidR="007A0F81" w:rsidRDefault="007A0F81" w:rsidP="007A0F81">
      <w:pPr>
        <w:pStyle w:val="NoSpacing"/>
        <w:spacing w:line="276" w:lineRule="auto"/>
        <w:rPr>
          <w:sz w:val="24"/>
        </w:rPr>
      </w:pPr>
      <w:r>
        <w:rPr>
          <w:sz w:val="24"/>
        </w:rPr>
        <w:t>Assessment reporting practice should evidence</w:t>
      </w:r>
      <w:r w:rsidR="0013147E">
        <w:rPr>
          <w:sz w:val="24"/>
        </w:rPr>
        <w:t xml:space="preserve"> that </w:t>
      </w:r>
      <w:r w:rsidR="007F4040">
        <w:rPr>
          <w:sz w:val="24"/>
        </w:rPr>
        <w:t xml:space="preserve">reports </w:t>
      </w:r>
      <w:r w:rsidR="0013147E">
        <w:rPr>
          <w:sz w:val="24"/>
        </w:rPr>
        <w:t>are</w:t>
      </w:r>
      <w:r>
        <w:rPr>
          <w:sz w:val="24"/>
        </w:rPr>
        <w:t>:</w:t>
      </w:r>
    </w:p>
    <w:p w14:paraId="4B400D58" w14:textId="7E416E2F" w:rsidR="008623E0" w:rsidRPr="00372676" w:rsidRDefault="008623E0" w:rsidP="000B57B6">
      <w:pPr>
        <w:pStyle w:val="NoSpacing"/>
        <w:numPr>
          <w:ilvl w:val="0"/>
          <w:numId w:val="24"/>
        </w:numPr>
        <w:spacing w:line="276" w:lineRule="auto"/>
        <w:rPr>
          <w:sz w:val="24"/>
          <w:lang w:val="en-GB"/>
        </w:rPr>
      </w:pPr>
      <w:r w:rsidRPr="008623E0">
        <w:rPr>
          <w:b/>
          <w:bCs/>
          <w:sz w:val="24"/>
          <w:lang w:val="en-GB"/>
        </w:rPr>
        <w:t>Accessible</w:t>
      </w:r>
      <w:r w:rsidRPr="00372676">
        <w:rPr>
          <w:sz w:val="24"/>
          <w:lang w:val="en-GB"/>
        </w:rPr>
        <w:t xml:space="preserve"> - to ensure assessment reports and their conclusions and recommendations are easily understood by and useful to the individual assessed and to other relevant individuals, organisations and institutions. </w:t>
      </w:r>
    </w:p>
    <w:p w14:paraId="734CB40B" w14:textId="2F2CFAE9" w:rsidR="008623E0" w:rsidRPr="00372676" w:rsidRDefault="008623E0" w:rsidP="000B57B6">
      <w:pPr>
        <w:pStyle w:val="NoSpacing"/>
        <w:numPr>
          <w:ilvl w:val="0"/>
          <w:numId w:val="24"/>
        </w:numPr>
        <w:spacing w:line="276" w:lineRule="auto"/>
        <w:rPr>
          <w:sz w:val="24"/>
          <w:lang w:val="en-GB"/>
        </w:rPr>
      </w:pPr>
      <w:r w:rsidRPr="008623E0">
        <w:rPr>
          <w:b/>
          <w:bCs/>
          <w:sz w:val="24"/>
          <w:lang w:val="en-GB"/>
        </w:rPr>
        <w:t>Reliable</w:t>
      </w:r>
      <w:r w:rsidRPr="00372676">
        <w:rPr>
          <w:sz w:val="24"/>
          <w:lang w:val="en-GB"/>
        </w:rPr>
        <w:t xml:space="preserve"> - to ensure that the identification of a SpLD is a robust diagnostic conclusion based on converging evidence from the developmental history, background information, observation, discussion and results of the tests administered. The evidence required will closely relate to a referenced definition and to the relevant diagnostic criteria. </w:t>
      </w:r>
    </w:p>
    <w:p w14:paraId="60A40A59" w14:textId="6BA27D9B" w:rsidR="008623E0" w:rsidRPr="00372676" w:rsidRDefault="008623E0" w:rsidP="000B57B6">
      <w:pPr>
        <w:pStyle w:val="NoSpacing"/>
        <w:numPr>
          <w:ilvl w:val="0"/>
          <w:numId w:val="24"/>
        </w:numPr>
        <w:spacing w:line="276" w:lineRule="auto"/>
        <w:rPr>
          <w:sz w:val="24"/>
          <w:lang w:val="en-GB"/>
        </w:rPr>
      </w:pPr>
      <w:r w:rsidRPr="008623E0">
        <w:rPr>
          <w:b/>
          <w:bCs/>
          <w:sz w:val="24"/>
          <w:lang w:val="en-GB"/>
        </w:rPr>
        <w:t>Clear</w:t>
      </w:r>
      <w:r w:rsidRPr="00372676">
        <w:rPr>
          <w:sz w:val="24"/>
          <w:lang w:val="en-GB"/>
        </w:rPr>
        <w:t xml:space="preserve"> - in reporting test results, there will be an emphasis on interpretative comment, showing how and why key elements of test performance support/do not support the identification of a SpLD. </w:t>
      </w:r>
    </w:p>
    <w:p w14:paraId="102DD805" w14:textId="53B98FA7" w:rsidR="008623E0" w:rsidRPr="00372676" w:rsidRDefault="008623E0" w:rsidP="000B57B6">
      <w:pPr>
        <w:pStyle w:val="NoSpacing"/>
        <w:numPr>
          <w:ilvl w:val="0"/>
          <w:numId w:val="24"/>
        </w:numPr>
        <w:spacing w:line="276" w:lineRule="auto"/>
        <w:rPr>
          <w:sz w:val="24"/>
          <w:lang w:val="en-GB"/>
        </w:rPr>
      </w:pPr>
      <w:r w:rsidRPr="008623E0">
        <w:rPr>
          <w:b/>
          <w:bCs/>
          <w:sz w:val="24"/>
          <w:lang w:val="en-GB"/>
        </w:rPr>
        <w:t>Consistent</w:t>
      </w:r>
      <w:r w:rsidRPr="00372676">
        <w:rPr>
          <w:sz w:val="24"/>
          <w:lang w:val="en-GB"/>
        </w:rPr>
        <w:t xml:space="preserve"> - to encourage a consistent and best practice approach in SpLD diagnostic assessment. Synopsis and commentary must contribute to a consistent picture throughout the report. If there are unusual results or irregularities in any area, these must be explained. </w:t>
      </w:r>
    </w:p>
    <w:p w14:paraId="0AC551DD" w14:textId="10C8ECB0" w:rsidR="008623E0" w:rsidRPr="00372676" w:rsidRDefault="008623E0" w:rsidP="000B57B6">
      <w:pPr>
        <w:pStyle w:val="NoSpacing"/>
        <w:numPr>
          <w:ilvl w:val="0"/>
          <w:numId w:val="24"/>
        </w:numPr>
        <w:spacing w:line="276" w:lineRule="auto"/>
        <w:rPr>
          <w:sz w:val="24"/>
        </w:rPr>
      </w:pPr>
      <w:r w:rsidRPr="008623E0">
        <w:rPr>
          <w:b/>
          <w:bCs/>
          <w:sz w:val="24"/>
          <w:lang w:val="en-GB"/>
        </w:rPr>
        <w:t>Efficient and Useful</w:t>
      </w:r>
      <w:r w:rsidRPr="00372676">
        <w:rPr>
          <w:sz w:val="24"/>
          <w:lang w:val="en-GB"/>
        </w:rPr>
        <w:t xml:space="preserve"> - although the total length and design of an assessment report will inevitably vary depending on choice of font, font size and spacing, number of relevant appendices etc., the writing style of the report should aim to achieve clarity, transparency and succinctness while presenting sufficient </w:t>
      </w:r>
      <w:r w:rsidRPr="00372676">
        <w:rPr>
          <w:sz w:val="24"/>
        </w:rPr>
        <w:t xml:space="preserve">detail to support conclusions reached. Assessors should consider reader accessibility by using dyslexia-friendly formatting. </w:t>
      </w:r>
    </w:p>
    <w:p w14:paraId="49C4E992" w14:textId="4EE23D56" w:rsidR="008623E0" w:rsidRPr="008623E0" w:rsidRDefault="008623E0" w:rsidP="008623E0">
      <w:pPr>
        <w:pStyle w:val="NoSpacing"/>
        <w:spacing w:line="276" w:lineRule="auto"/>
        <w:rPr>
          <w:b/>
          <w:bCs/>
          <w:sz w:val="24"/>
          <w:lang w:val="en-GB"/>
        </w:rPr>
      </w:pPr>
    </w:p>
    <w:p w14:paraId="1E1F1721" w14:textId="12276E23" w:rsidR="00AE741E" w:rsidRPr="000561C4" w:rsidRDefault="00A00D47" w:rsidP="004A40DD">
      <w:pPr>
        <w:pStyle w:val="NoSpacing"/>
        <w:spacing w:line="276" w:lineRule="auto"/>
        <w:rPr>
          <w:sz w:val="24"/>
        </w:rPr>
      </w:pPr>
      <w:r w:rsidRPr="000B57B6">
        <w:rPr>
          <w:sz w:val="24"/>
        </w:rPr>
        <w:t xml:space="preserve">The renewal of an </w:t>
      </w:r>
      <w:r w:rsidR="00B56A60" w:rsidRPr="000B57B6">
        <w:rPr>
          <w:sz w:val="24"/>
        </w:rPr>
        <w:t xml:space="preserve">Assessment </w:t>
      </w:r>
      <w:proofErr w:type="spellStart"/>
      <w:r w:rsidR="00B56A60" w:rsidRPr="000B57B6">
        <w:rPr>
          <w:sz w:val="24"/>
        </w:rPr>
        <w:t>Practising</w:t>
      </w:r>
      <w:proofErr w:type="spellEnd"/>
      <w:r w:rsidR="00B56A60" w:rsidRPr="000B57B6">
        <w:rPr>
          <w:sz w:val="24"/>
        </w:rPr>
        <w:t xml:space="preserve"> </w:t>
      </w:r>
      <w:r w:rsidR="00C858BB" w:rsidRPr="000B57B6">
        <w:rPr>
          <w:sz w:val="24"/>
        </w:rPr>
        <w:t xml:space="preserve">Certificate </w:t>
      </w:r>
      <w:r w:rsidR="00C858BB">
        <w:rPr>
          <w:sz w:val="24"/>
        </w:rPr>
        <w:t>is dependent upon demonstrating, through diagnostic report evidence, practice</w:t>
      </w:r>
      <w:r>
        <w:rPr>
          <w:sz w:val="24"/>
        </w:rPr>
        <w:t xml:space="preserve"> which meets</w:t>
      </w:r>
      <w:r w:rsidR="00C858BB">
        <w:rPr>
          <w:sz w:val="24"/>
        </w:rPr>
        <w:t xml:space="preserve"> SASC </w:t>
      </w:r>
      <w:r w:rsidR="007B63FB">
        <w:rPr>
          <w:sz w:val="24"/>
        </w:rPr>
        <w:t>guidelines</w:t>
      </w:r>
      <w:r w:rsidR="00C858BB">
        <w:rPr>
          <w:sz w:val="24"/>
        </w:rPr>
        <w:t xml:space="preserve">. </w:t>
      </w:r>
      <w:r w:rsidR="00014B23" w:rsidRPr="00EB2723">
        <w:rPr>
          <w:sz w:val="24"/>
        </w:rPr>
        <w:t xml:space="preserve">The first three renewals </w:t>
      </w:r>
      <w:r w:rsidR="00AE741E" w:rsidRPr="00EB2723">
        <w:rPr>
          <w:sz w:val="24"/>
        </w:rPr>
        <w:t>of</w:t>
      </w:r>
      <w:r w:rsidR="00AE741E" w:rsidRPr="000561C4">
        <w:rPr>
          <w:sz w:val="24"/>
        </w:rPr>
        <w:t xml:space="preserve"> an APC </w:t>
      </w:r>
      <w:r w:rsidR="007B63FB">
        <w:rPr>
          <w:sz w:val="24"/>
        </w:rPr>
        <w:t>rely</w:t>
      </w:r>
      <w:r w:rsidR="00BC1805">
        <w:rPr>
          <w:sz w:val="24"/>
        </w:rPr>
        <w:t xml:space="preserve"> </w:t>
      </w:r>
      <w:r w:rsidR="00AE741E" w:rsidRPr="000561C4">
        <w:rPr>
          <w:sz w:val="24"/>
        </w:rPr>
        <w:t>upon successful completion of a CPD log and production of an assessment report</w:t>
      </w:r>
      <w:r w:rsidR="00A9177A">
        <w:rPr>
          <w:sz w:val="24"/>
        </w:rPr>
        <w:t xml:space="preserve"> written within the </w:t>
      </w:r>
      <w:r w:rsidR="00BF0F90">
        <w:rPr>
          <w:sz w:val="24"/>
        </w:rPr>
        <w:t>previous</w:t>
      </w:r>
      <w:r w:rsidR="00A9177A">
        <w:rPr>
          <w:sz w:val="24"/>
        </w:rPr>
        <w:t xml:space="preserve"> eighteen months</w:t>
      </w:r>
      <w:r w:rsidR="007753FF">
        <w:rPr>
          <w:sz w:val="24"/>
        </w:rPr>
        <w:t>, which meets SASC guidelines</w:t>
      </w:r>
      <w:r w:rsidR="00AE741E" w:rsidRPr="000561C4">
        <w:rPr>
          <w:sz w:val="24"/>
        </w:rPr>
        <w:t xml:space="preserve">. </w:t>
      </w:r>
      <w:r w:rsidR="00BF0F90">
        <w:rPr>
          <w:sz w:val="24"/>
        </w:rPr>
        <w:t>SASC</w:t>
      </w:r>
      <w:r w:rsidR="00AE741E" w:rsidRPr="000561C4">
        <w:rPr>
          <w:sz w:val="24"/>
        </w:rPr>
        <w:t xml:space="preserve"> believe it is important that all bodies </w:t>
      </w:r>
      <w:r w:rsidR="00753BC6">
        <w:rPr>
          <w:sz w:val="24"/>
        </w:rPr>
        <w:t>that</w:t>
      </w:r>
      <w:r w:rsidR="00753BC6" w:rsidRPr="000561C4">
        <w:rPr>
          <w:sz w:val="24"/>
        </w:rPr>
        <w:t xml:space="preserve"> </w:t>
      </w:r>
      <w:r w:rsidR="00AE741E" w:rsidRPr="000561C4">
        <w:rPr>
          <w:sz w:val="24"/>
        </w:rPr>
        <w:t>undertake to review APC applications apply a consistent standard and adopt a consistent policy in their response</w:t>
      </w:r>
      <w:r w:rsidR="00C858BB">
        <w:rPr>
          <w:sz w:val="24"/>
        </w:rPr>
        <w:t>s</w:t>
      </w:r>
      <w:r w:rsidR="00AE741E" w:rsidRPr="000561C4">
        <w:rPr>
          <w:sz w:val="24"/>
        </w:rPr>
        <w:t xml:space="preserve">. Therefore, the following </w:t>
      </w:r>
      <w:r w:rsidR="00AD2B12" w:rsidRPr="00441FAB">
        <w:rPr>
          <w:sz w:val="24"/>
        </w:rPr>
        <w:t>revised</w:t>
      </w:r>
      <w:r w:rsidR="00AD2B12">
        <w:rPr>
          <w:color w:val="FF0000"/>
          <w:sz w:val="24"/>
        </w:rPr>
        <w:t xml:space="preserve"> </w:t>
      </w:r>
      <w:r w:rsidR="00C858BB" w:rsidRPr="000561C4">
        <w:rPr>
          <w:sz w:val="24"/>
        </w:rPr>
        <w:t>brie</w:t>
      </w:r>
      <w:r w:rsidR="00C858BB" w:rsidRPr="00441FAB">
        <w:rPr>
          <w:sz w:val="24"/>
        </w:rPr>
        <w:t xml:space="preserve">f </w:t>
      </w:r>
      <w:r w:rsidR="00AE741E" w:rsidRPr="000561C4">
        <w:rPr>
          <w:sz w:val="24"/>
        </w:rPr>
        <w:t xml:space="preserve">structure and feedback process </w:t>
      </w:r>
      <w:r w:rsidR="00BF0F90">
        <w:rPr>
          <w:sz w:val="24"/>
        </w:rPr>
        <w:t xml:space="preserve">will be adopted </w:t>
      </w:r>
      <w:r w:rsidR="00AE741E" w:rsidRPr="000561C4">
        <w:rPr>
          <w:sz w:val="24"/>
        </w:rPr>
        <w:t xml:space="preserve">as a </w:t>
      </w:r>
      <w:r w:rsidR="00AE741E" w:rsidRPr="007753FF">
        <w:rPr>
          <w:sz w:val="24"/>
        </w:rPr>
        <w:lastRenderedPageBreak/>
        <w:t xml:space="preserve">framework </w:t>
      </w:r>
      <w:r w:rsidR="00916C7C" w:rsidRPr="007753FF">
        <w:rPr>
          <w:sz w:val="24"/>
        </w:rPr>
        <w:t xml:space="preserve">by </w:t>
      </w:r>
      <w:r w:rsidR="00AE741E" w:rsidRPr="007753FF">
        <w:rPr>
          <w:sz w:val="24"/>
        </w:rPr>
        <w:t xml:space="preserve">all issuing bodies </w:t>
      </w:r>
      <w:r w:rsidR="00BF0F90" w:rsidRPr="007753FF">
        <w:rPr>
          <w:sz w:val="24"/>
        </w:rPr>
        <w:t>for reports received</w:t>
      </w:r>
      <w:r w:rsidR="00916C7C" w:rsidRPr="007753FF">
        <w:rPr>
          <w:sz w:val="24"/>
        </w:rPr>
        <w:t xml:space="preserve"> for APC renewal</w:t>
      </w:r>
      <w:r w:rsidR="006D6500" w:rsidRPr="007753FF">
        <w:rPr>
          <w:sz w:val="24"/>
        </w:rPr>
        <w:t xml:space="preserve"> </w:t>
      </w:r>
      <w:r w:rsidR="00BF0F90" w:rsidRPr="007753FF">
        <w:rPr>
          <w:sz w:val="24"/>
        </w:rPr>
        <w:t xml:space="preserve">from </w:t>
      </w:r>
      <w:r w:rsidR="00BF0F90" w:rsidRPr="007753FF">
        <w:rPr>
          <w:b/>
          <w:bCs/>
          <w:sz w:val="24"/>
        </w:rPr>
        <w:t>1 January 202</w:t>
      </w:r>
      <w:r w:rsidR="00470E43" w:rsidRPr="007753FF">
        <w:rPr>
          <w:b/>
          <w:bCs/>
          <w:sz w:val="24"/>
        </w:rPr>
        <w:t>6</w:t>
      </w:r>
      <w:r w:rsidR="00AE741E" w:rsidRPr="007753FF">
        <w:rPr>
          <w:sz w:val="24"/>
        </w:rPr>
        <w:t>.</w:t>
      </w:r>
    </w:p>
    <w:p w14:paraId="29C70902" w14:textId="77777777" w:rsidR="00AE741E" w:rsidRDefault="00AE741E" w:rsidP="004A40DD">
      <w:pPr>
        <w:tabs>
          <w:tab w:val="left" w:pos="709"/>
        </w:tabs>
        <w:spacing w:before="29" w:after="0" w:line="276" w:lineRule="auto"/>
        <w:ind w:right="660"/>
        <w:rPr>
          <w:rFonts w:eastAsia="Arial" w:cstheme="minorHAnsi"/>
          <w:bCs/>
          <w:sz w:val="24"/>
          <w:szCs w:val="24"/>
          <w:lang w:val="en-US"/>
        </w:rPr>
      </w:pPr>
    </w:p>
    <w:p w14:paraId="1A82641D" w14:textId="6503D8AD" w:rsidR="00974DDE" w:rsidRDefault="00974DDE" w:rsidP="004A40DD">
      <w:pPr>
        <w:pStyle w:val="NoSpacing"/>
        <w:spacing w:line="276" w:lineRule="auto"/>
        <w:rPr>
          <w:sz w:val="24"/>
        </w:rPr>
      </w:pPr>
      <w:r w:rsidRPr="00974DDE">
        <w:rPr>
          <w:sz w:val="24"/>
          <w:lang w:val="en-GB"/>
        </w:rPr>
        <w:t>Any report written by an assessor holding a current APC or HCPC registration at the time of the assessment may be used, in the future, to support applications for funding or additional support, regardless of the individual's age.</w:t>
      </w:r>
      <w:r>
        <w:rPr>
          <w:sz w:val="24"/>
          <w:lang w:val="en-GB"/>
        </w:rPr>
        <w:t xml:space="preserve"> T</w:t>
      </w:r>
      <w:proofErr w:type="spellStart"/>
      <w:r w:rsidR="00602976" w:rsidRPr="00974DDE">
        <w:rPr>
          <w:sz w:val="24"/>
        </w:rPr>
        <w:t>herefore</w:t>
      </w:r>
      <w:proofErr w:type="spellEnd"/>
      <w:r w:rsidRPr="00974DDE">
        <w:rPr>
          <w:sz w:val="24"/>
        </w:rPr>
        <w:t xml:space="preserve"> the SASC report format proforma should be used to ensure a consistent and standardised approach.</w:t>
      </w:r>
    </w:p>
    <w:p w14:paraId="11421930" w14:textId="77777777" w:rsidR="00974DDE" w:rsidRDefault="00974DDE" w:rsidP="004A40DD">
      <w:pPr>
        <w:pStyle w:val="NoSpacing"/>
        <w:spacing w:line="276" w:lineRule="auto"/>
        <w:rPr>
          <w:sz w:val="24"/>
        </w:rPr>
      </w:pPr>
    </w:p>
    <w:p w14:paraId="745A9281" w14:textId="77777777" w:rsidR="00AE741E" w:rsidRPr="000561C4" w:rsidRDefault="00AE741E" w:rsidP="004A40DD">
      <w:pPr>
        <w:pStyle w:val="NoSpacing"/>
        <w:spacing w:after="120" w:line="276" w:lineRule="auto"/>
        <w:rPr>
          <w:sz w:val="24"/>
        </w:rPr>
      </w:pPr>
      <w:r w:rsidRPr="000561C4">
        <w:rPr>
          <w:sz w:val="24"/>
        </w:rPr>
        <w:t xml:space="preserve">Although not necessarily demonstrated through the report evidence submitted, it is understood that for the assessment process the following </w:t>
      </w:r>
      <w:r w:rsidR="00245DE1">
        <w:rPr>
          <w:sz w:val="24"/>
        </w:rPr>
        <w:t xml:space="preserve">issues </w:t>
      </w:r>
      <w:r w:rsidRPr="000561C4">
        <w:rPr>
          <w:sz w:val="24"/>
        </w:rPr>
        <w:t>have been incorporated in</w:t>
      </w:r>
      <w:r w:rsidR="00245DE1">
        <w:rPr>
          <w:sz w:val="24"/>
        </w:rPr>
        <w:t>to</w:t>
      </w:r>
      <w:r w:rsidRPr="000561C4">
        <w:rPr>
          <w:sz w:val="24"/>
        </w:rPr>
        <w:t xml:space="preserve"> practice:</w:t>
      </w:r>
    </w:p>
    <w:p w14:paraId="51B35579" w14:textId="77777777" w:rsidR="00AE741E" w:rsidRPr="000561C4" w:rsidRDefault="00AE741E" w:rsidP="004A40DD">
      <w:pPr>
        <w:pStyle w:val="NoSpacing"/>
        <w:spacing w:line="276" w:lineRule="auto"/>
        <w:rPr>
          <w:sz w:val="24"/>
        </w:rPr>
      </w:pPr>
      <w:r w:rsidRPr="000561C4">
        <w:rPr>
          <w:sz w:val="24"/>
        </w:rPr>
        <w:t>•</w:t>
      </w:r>
      <w:r w:rsidRPr="000561C4">
        <w:rPr>
          <w:sz w:val="24"/>
        </w:rPr>
        <w:tab/>
        <w:t>test selection takes into consideration equal opportunity</w:t>
      </w:r>
    </w:p>
    <w:p w14:paraId="67E2F179" w14:textId="77777777" w:rsidR="00AE741E" w:rsidRPr="000561C4" w:rsidRDefault="00AE741E" w:rsidP="004A40DD">
      <w:pPr>
        <w:pStyle w:val="NoSpacing"/>
        <w:spacing w:line="276" w:lineRule="auto"/>
        <w:ind w:left="709" w:hanging="709"/>
        <w:rPr>
          <w:sz w:val="24"/>
        </w:rPr>
      </w:pPr>
      <w:r w:rsidRPr="000561C4">
        <w:rPr>
          <w:sz w:val="24"/>
        </w:rPr>
        <w:t>•</w:t>
      </w:r>
      <w:r w:rsidRPr="000561C4">
        <w:rPr>
          <w:sz w:val="24"/>
        </w:rPr>
        <w:tab/>
        <w:t>pre-testing requirements and conditions for assessment have been considered</w:t>
      </w:r>
    </w:p>
    <w:p w14:paraId="0856AC17" w14:textId="77777777" w:rsidR="00AE741E" w:rsidRPr="000561C4" w:rsidRDefault="00AE741E" w:rsidP="004A40DD">
      <w:pPr>
        <w:pStyle w:val="NoSpacing"/>
        <w:spacing w:line="276" w:lineRule="auto"/>
        <w:rPr>
          <w:sz w:val="24"/>
        </w:rPr>
      </w:pPr>
      <w:r w:rsidRPr="000561C4">
        <w:rPr>
          <w:sz w:val="24"/>
        </w:rPr>
        <w:t>•</w:t>
      </w:r>
      <w:r w:rsidRPr="000561C4">
        <w:rPr>
          <w:sz w:val="24"/>
        </w:rPr>
        <w:tab/>
        <w:t>there are clear arrangements for feedback</w:t>
      </w:r>
    </w:p>
    <w:p w14:paraId="0014AEDF" w14:textId="7E2507AE" w:rsidR="00AE741E" w:rsidRPr="000561C4" w:rsidRDefault="00AE741E" w:rsidP="004A40DD">
      <w:pPr>
        <w:pStyle w:val="NoSpacing"/>
        <w:spacing w:line="276" w:lineRule="auto"/>
        <w:rPr>
          <w:sz w:val="24"/>
        </w:rPr>
      </w:pPr>
      <w:r w:rsidRPr="000561C4">
        <w:rPr>
          <w:sz w:val="24"/>
        </w:rPr>
        <w:t>•</w:t>
      </w:r>
      <w:r w:rsidRPr="000561C4">
        <w:rPr>
          <w:sz w:val="24"/>
        </w:rPr>
        <w:tab/>
        <w:t>security and confidentiality of test materials and</w:t>
      </w:r>
      <w:r w:rsidR="00C00D14">
        <w:rPr>
          <w:sz w:val="24"/>
        </w:rPr>
        <w:t xml:space="preserve"> the</w:t>
      </w:r>
      <w:r w:rsidRPr="000561C4">
        <w:rPr>
          <w:sz w:val="24"/>
        </w:rPr>
        <w:t xml:space="preserve"> report are maintained</w:t>
      </w:r>
    </w:p>
    <w:p w14:paraId="3485638D" w14:textId="77777777" w:rsidR="007A0F81" w:rsidRPr="00F53776" w:rsidRDefault="00AE741E" w:rsidP="00F53776">
      <w:pPr>
        <w:pStyle w:val="NoSpacing"/>
        <w:spacing w:line="276" w:lineRule="auto"/>
        <w:ind w:left="709" w:hanging="709"/>
        <w:rPr>
          <w:sz w:val="24"/>
        </w:rPr>
      </w:pPr>
      <w:r w:rsidRPr="000561C4">
        <w:rPr>
          <w:sz w:val="24"/>
        </w:rPr>
        <w:t>•</w:t>
      </w:r>
      <w:r w:rsidRPr="000561C4">
        <w:rPr>
          <w:sz w:val="24"/>
        </w:rPr>
        <w:tab/>
        <w:t xml:space="preserve">practice is in accordance with the </w:t>
      </w:r>
      <w:r w:rsidR="00C858BB">
        <w:rPr>
          <w:sz w:val="24"/>
        </w:rPr>
        <w:t>professional</w:t>
      </w:r>
      <w:r w:rsidR="00C858BB" w:rsidRPr="000561C4">
        <w:rPr>
          <w:sz w:val="24"/>
        </w:rPr>
        <w:t xml:space="preserve"> </w:t>
      </w:r>
      <w:r w:rsidRPr="000561C4">
        <w:rPr>
          <w:sz w:val="24"/>
        </w:rPr>
        <w:t>body’s code of ethics and standards of practice.</w:t>
      </w:r>
      <w:r w:rsidR="007A0F81">
        <w:rPr>
          <w:b/>
          <w:bCs/>
          <w:sz w:val="24"/>
        </w:rPr>
        <w:br w:type="page"/>
      </w:r>
    </w:p>
    <w:p w14:paraId="7C48D716" w14:textId="6DBEC907" w:rsidR="000B5BEA" w:rsidRPr="00014B23" w:rsidRDefault="000B5BEA" w:rsidP="00AE741E">
      <w:pPr>
        <w:pStyle w:val="NoSpacing"/>
        <w:rPr>
          <w:b/>
          <w:bCs/>
          <w:sz w:val="28"/>
          <w:szCs w:val="24"/>
        </w:rPr>
      </w:pPr>
      <w:r w:rsidRPr="00014B23">
        <w:rPr>
          <w:b/>
          <w:bCs/>
          <w:sz w:val="28"/>
          <w:szCs w:val="24"/>
        </w:rPr>
        <w:lastRenderedPageBreak/>
        <w:t xml:space="preserve">The </w:t>
      </w:r>
      <w:r w:rsidRPr="00EB2723">
        <w:rPr>
          <w:b/>
          <w:bCs/>
          <w:sz w:val="28"/>
          <w:szCs w:val="24"/>
        </w:rPr>
        <w:t xml:space="preserve">structure for </w:t>
      </w:r>
      <w:r w:rsidRPr="007753FF">
        <w:rPr>
          <w:b/>
          <w:bCs/>
          <w:sz w:val="28"/>
          <w:szCs w:val="24"/>
        </w:rPr>
        <w:t xml:space="preserve">review </w:t>
      </w:r>
      <w:r w:rsidR="00D22710" w:rsidRPr="007753FF">
        <w:rPr>
          <w:b/>
          <w:bCs/>
          <w:sz w:val="28"/>
          <w:szCs w:val="24"/>
        </w:rPr>
        <w:t xml:space="preserve">given below </w:t>
      </w:r>
      <w:r w:rsidRPr="007753FF">
        <w:rPr>
          <w:b/>
          <w:bCs/>
          <w:sz w:val="28"/>
          <w:szCs w:val="24"/>
        </w:rPr>
        <w:t>sets out criteria</w:t>
      </w:r>
      <w:r w:rsidR="00014B23" w:rsidRPr="007753FF">
        <w:rPr>
          <w:b/>
          <w:bCs/>
          <w:sz w:val="28"/>
          <w:szCs w:val="24"/>
        </w:rPr>
        <w:t xml:space="preserve"> considered to be essential</w:t>
      </w:r>
      <w:r w:rsidRPr="007753FF">
        <w:rPr>
          <w:b/>
          <w:bCs/>
          <w:sz w:val="28"/>
          <w:szCs w:val="24"/>
        </w:rPr>
        <w:t xml:space="preserve"> for all</w:t>
      </w:r>
      <w:r w:rsidR="00C00D14" w:rsidRPr="007753FF">
        <w:rPr>
          <w:b/>
          <w:bCs/>
          <w:sz w:val="28"/>
          <w:szCs w:val="24"/>
        </w:rPr>
        <w:t xml:space="preserve"> </w:t>
      </w:r>
      <w:r w:rsidR="00D22710" w:rsidRPr="007753FF">
        <w:rPr>
          <w:b/>
          <w:bCs/>
          <w:sz w:val="28"/>
          <w:szCs w:val="24"/>
        </w:rPr>
        <w:t xml:space="preserve">SASC compliant </w:t>
      </w:r>
      <w:r w:rsidRPr="007753FF">
        <w:rPr>
          <w:b/>
          <w:bCs/>
          <w:sz w:val="28"/>
          <w:szCs w:val="24"/>
        </w:rPr>
        <w:t>assessment reports</w:t>
      </w:r>
    </w:p>
    <w:p w14:paraId="11705DAF" w14:textId="77777777" w:rsidR="00AA6B6D" w:rsidRDefault="00AA6B6D" w:rsidP="00AE741E">
      <w:pPr>
        <w:pStyle w:val="NoSpacing"/>
        <w:rPr>
          <w:sz w:val="24"/>
        </w:rPr>
      </w:pPr>
    </w:p>
    <w:p w14:paraId="1EC6AB43" w14:textId="77777777" w:rsidR="000561C4" w:rsidRDefault="00AA6B6D" w:rsidP="00AE741E">
      <w:pPr>
        <w:pStyle w:val="NoSpacing"/>
        <w:rPr>
          <w:b/>
          <w:sz w:val="24"/>
          <w:szCs w:val="24"/>
        </w:rPr>
      </w:pPr>
      <w:r w:rsidRPr="00AE77C1">
        <w:rPr>
          <w:b/>
          <w:sz w:val="24"/>
          <w:szCs w:val="24"/>
        </w:rPr>
        <w:t>All reports should demonstrate</w:t>
      </w:r>
      <w:r w:rsidR="00F532A1" w:rsidRPr="00AE77C1">
        <w:rPr>
          <w:b/>
          <w:sz w:val="24"/>
          <w:szCs w:val="24"/>
        </w:rPr>
        <w:t xml:space="preserve"> that</w:t>
      </w:r>
      <w:r w:rsidRPr="00AE77C1">
        <w:rPr>
          <w:b/>
          <w:sz w:val="24"/>
          <w:szCs w:val="24"/>
        </w:rPr>
        <w:t>:</w:t>
      </w:r>
    </w:p>
    <w:p w14:paraId="2BBE2A50" w14:textId="77777777" w:rsidR="00D22710" w:rsidRPr="00B22A66" w:rsidRDefault="00D22710" w:rsidP="00AE741E">
      <w:pPr>
        <w:pStyle w:val="NoSpacing"/>
        <w:rPr>
          <w:b/>
          <w:sz w:val="24"/>
          <w:szCs w:val="24"/>
        </w:rPr>
      </w:pPr>
    </w:p>
    <w:p w14:paraId="17BF5B1C" w14:textId="2D24EE65"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The confidentiality of individuals and restricted materials is maintained throughout the report</w:t>
      </w:r>
      <w:r w:rsidR="00E43FFD" w:rsidRPr="00B22A66">
        <w:rPr>
          <w:sz w:val="24"/>
          <w:szCs w:val="24"/>
        </w:rPr>
        <w:t>.</w:t>
      </w:r>
    </w:p>
    <w:p w14:paraId="231708BB" w14:textId="4692FE4C" w:rsidR="00E43FFD" w:rsidRPr="00B22A66" w:rsidRDefault="00D22710" w:rsidP="00E43FFD">
      <w:pPr>
        <w:pStyle w:val="NoSpacing"/>
        <w:numPr>
          <w:ilvl w:val="0"/>
          <w:numId w:val="17"/>
        </w:numPr>
        <w:spacing w:after="120" w:line="276" w:lineRule="auto"/>
        <w:rPr>
          <w:b/>
          <w:bCs/>
          <w:sz w:val="24"/>
          <w:szCs w:val="24"/>
        </w:rPr>
      </w:pPr>
      <w:r w:rsidRPr="00B22A66">
        <w:rPr>
          <w:rFonts w:eastAsiaTheme="minorEastAsia"/>
          <w:sz w:val="24"/>
          <w:szCs w:val="24"/>
        </w:rPr>
        <w:t>The assessor demonstrates a thorough understanding of how cognitive processing contributes to the identification of the SpLD(s) under consideration</w:t>
      </w:r>
      <w:r w:rsidR="00E43FFD" w:rsidRPr="00B22A66">
        <w:rPr>
          <w:rFonts w:ascii="Calibri" w:eastAsia="MS Mincho" w:hAnsi="Calibri" w:cs="Calibri"/>
          <w:sz w:val="24"/>
          <w:szCs w:val="24"/>
        </w:rPr>
        <w:t>.</w:t>
      </w:r>
    </w:p>
    <w:p w14:paraId="45B6B351" w14:textId="1F47D4B1"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 xml:space="preserve">A </w:t>
      </w:r>
      <w:r w:rsidR="00F266F4" w:rsidRPr="00F266F4">
        <w:rPr>
          <w:sz w:val="24"/>
          <w:szCs w:val="24"/>
          <w:lang w:val="en-GB"/>
        </w:rPr>
        <w:t>range of background information has been gathered to provide a reliable history of the individual’s challenges and strengths.</w:t>
      </w:r>
      <w:r w:rsidR="00CF2D6D">
        <w:rPr>
          <w:sz w:val="24"/>
          <w:szCs w:val="24"/>
          <w:lang w:val="en-GB"/>
        </w:rPr>
        <w:t xml:space="preserve"> </w:t>
      </w:r>
      <w:r w:rsidR="00CF2D6D">
        <w:rPr>
          <w:sz w:val="24"/>
          <w:szCs w:val="24"/>
          <w:lang w:val="en-GB"/>
        </w:rPr>
        <w:br/>
      </w:r>
      <w:r w:rsidR="00CF2D6D" w:rsidRPr="00CF2D6D">
        <w:rPr>
          <w:sz w:val="24"/>
          <w:szCs w:val="24"/>
          <w:lang w:val="en-GB"/>
        </w:rPr>
        <w:t>This has been gathered, where possible, from a variety of sources and has been reported sensitively and with care.</w:t>
      </w:r>
    </w:p>
    <w:p w14:paraId="0D0A0BE9" w14:textId="7511DA33"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Age-appropriate assessment materials have been chosen to cover all core components, as relevant to the SpLD(s) under consideration, with due regard to the background information and STEC test list</w:t>
      </w:r>
      <w:r w:rsidR="00E43FFD" w:rsidRPr="00B22A66">
        <w:rPr>
          <w:sz w:val="24"/>
          <w:szCs w:val="24"/>
        </w:rPr>
        <w:t>.</w:t>
      </w:r>
    </w:p>
    <w:p w14:paraId="0BAA7ADB" w14:textId="20D14A72" w:rsidR="00D22710" w:rsidRPr="00B22A66" w:rsidRDefault="00D22710" w:rsidP="00D22710">
      <w:pPr>
        <w:pStyle w:val="NoSpacing"/>
        <w:spacing w:after="120" w:line="276" w:lineRule="auto"/>
        <w:ind w:left="360"/>
        <w:rPr>
          <w:sz w:val="24"/>
          <w:szCs w:val="24"/>
        </w:rPr>
      </w:pPr>
      <w:r w:rsidRPr="00B22A66">
        <w:rPr>
          <w:sz w:val="24"/>
          <w:szCs w:val="24"/>
        </w:rPr>
        <w:t>Optional assessment materials, when used, have been chosen as appropriate, avoiding over-testing.</w:t>
      </w:r>
    </w:p>
    <w:p w14:paraId="5F88D448" w14:textId="6DF4A8A5" w:rsidR="00D22710" w:rsidRPr="00B22A66" w:rsidRDefault="00D22710" w:rsidP="00D22710">
      <w:pPr>
        <w:pStyle w:val="NoSpacing"/>
        <w:spacing w:after="120" w:line="276" w:lineRule="auto"/>
        <w:ind w:left="360"/>
        <w:rPr>
          <w:b/>
          <w:bCs/>
          <w:sz w:val="24"/>
          <w:szCs w:val="24"/>
        </w:rPr>
      </w:pPr>
      <w:r w:rsidRPr="00B22A66">
        <w:rPr>
          <w:sz w:val="24"/>
          <w:szCs w:val="24"/>
        </w:rPr>
        <w:t>Basal/ceiling ages of tests have been considered, and tests chosen appropriately.</w:t>
      </w:r>
    </w:p>
    <w:p w14:paraId="5577A92F" w14:textId="761A51F2" w:rsidR="00E43FFD" w:rsidRPr="00B22A66" w:rsidRDefault="00B22A66" w:rsidP="00E43FFD">
      <w:pPr>
        <w:pStyle w:val="NoSpacing"/>
        <w:numPr>
          <w:ilvl w:val="0"/>
          <w:numId w:val="17"/>
        </w:numPr>
        <w:spacing w:after="120" w:line="276" w:lineRule="auto"/>
        <w:rPr>
          <w:b/>
          <w:bCs/>
          <w:sz w:val="24"/>
          <w:szCs w:val="24"/>
        </w:rPr>
      </w:pPr>
      <w:r w:rsidRPr="00B22A66">
        <w:rPr>
          <w:color w:val="000000" w:themeColor="text1"/>
          <w:sz w:val="24"/>
          <w:szCs w:val="24"/>
        </w:rPr>
        <w:t>S</w:t>
      </w:r>
      <w:r w:rsidR="00E43FFD" w:rsidRPr="00B22A66">
        <w:rPr>
          <w:color w:val="000000" w:themeColor="text1"/>
          <w:sz w:val="24"/>
          <w:szCs w:val="24"/>
        </w:rPr>
        <w:t xml:space="preserve">cores are </w:t>
      </w:r>
      <w:r w:rsidRPr="00B22A66">
        <w:rPr>
          <w:color w:val="000000" w:themeColor="text1"/>
          <w:sz w:val="24"/>
          <w:szCs w:val="24"/>
        </w:rPr>
        <w:t xml:space="preserve">converted, </w:t>
      </w:r>
      <w:r w:rsidR="00E43FFD" w:rsidRPr="00B22A66">
        <w:rPr>
          <w:color w:val="000000" w:themeColor="text1"/>
          <w:sz w:val="24"/>
          <w:szCs w:val="24"/>
        </w:rPr>
        <w:t>calculated and</w:t>
      </w:r>
      <w:r w:rsidR="00E43FFD" w:rsidRPr="00B22A66">
        <w:rPr>
          <w:rFonts w:asciiTheme="majorHAnsi" w:hAnsiTheme="majorHAnsi" w:cstheme="majorBidi"/>
          <w:color w:val="000000" w:themeColor="text1"/>
          <w:sz w:val="24"/>
          <w:szCs w:val="24"/>
        </w:rPr>
        <w:t xml:space="preserve"> </w:t>
      </w:r>
      <w:r w:rsidR="00E43FFD" w:rsidRPr="00B22A66">
        <w:rPr>
          <w:rFonts w:ascii="Calibri" w:eastAsia="MS Mincho" w:hAnsi="Calibri" w:cs="Calibri"/>
          <w:color w:val="000000" w:themeColor="text1"/>
          <w:sz w:val="24"/>
          <w:szCs w:val="24"/>
        </w:rPr>
        <w:t>reported with 100% accuracy</w:t>
      </w:r>
      <w:r w:rsidRPr="00B22A66">
        <w:rPr>
          <w:rFonts w:ascii="Calibri" w:eastAsia="MS Mincho" w:hAnsi="Calibri" w:cs="Calibri"/>
          <w:color w:val="000000" w:themeColor="text1"/>
          <w:sz w:val="24"/>
          <w:szCs w:val="24"/>
        </w:rPr>
        <w:t>, clarity and consistency.</w:t>
      </w:r>
    </w:p>
    <w:p w14:paraId="62ED4493" w14:textId="3AB6872C" w:rsidR="00B22A66" w:rsidRPr="00B22A66" w:rsidRDefault="00B22A66" w:rsidP="00B22A66">
      <w:pPr>
        <w:pStyle w:val="NoSpacing"/>
        <w:spacing w:after="120" w:line="276" w:lineRule="auto"/>
        <w:ind w:left="360"/>
        <w:rPr>
          <w:color w:val="000000" w:themeColor="text1"/>
          <w:sz w:val="24"/>
          <w:szCs w:val="24"/>
        </w:rPr>
      </w:pPr>
      <w:r w:rsidRPr="00B22A66">
        <w:rPr>
          <w:color w:val="000000" w:themeColor="text1"/>
          <w:sz w:val="24"/>
          <w:szCs w:val="24"/>
        </w:rPr>
        <w:t>Level descriptors are accurately reported in the main body and appendices.</w:t>
      </w:r>
    </w:p>
    <w:p w14:paraId="64D8A089" w14:textId="623AB829" w:rsidR="00B22A66" w:rsidRPr="00B22A66" w:rsidRDefault="00B22A66" w:rsidP="00B22A66">
      <w:pPr>
        <w:pStyle w:val="NoSpacing"/>
        <w:spacing w:after="120" w:line="276" w:lineRule="auto"/>
        <w:ind w:left="360"/>
        <w:rPr>
          <w:b/>
          <w:bCs/>
          <w:sz w:val="24"/>
          <w:szCs w:val="24"/>
        </w:rPr>
      </w:pPr>
      <w:r w:rsidRPr="00B22A66">
        <w:rPr>
          <w:color w:val="000000" w:themeColor="text1"/>
          <w:sz w:val="24"/>
          <w:szCs w:val="24"/>
        </w:rPr>
        <w:t>Information in the report indicates that tests have been administered correctly.</w:t>
      </w:r>
    </w:p>
    <w:p w14:paraId="6AA24B1C" w14:textId="60F23D30"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Relevant statistical terms have been used in the report. These terms have been defined in Appendix 1 and used accurately throughout the report</w:t>
      </w:r>
      <w:r w:rsidR="00E43FFD" w:rsidRPr="00B22A66">
        <w:rPr>
          <w:sz w:val="24"/>
          <w:szCs w:val="24"/>
        </w:rPr>
        <w:t>.</w:t>
      </w:r>
    </w:p>
    <w:p w14:paraId="6F28659C" w14:textId="5DB5BAA8"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Where statistical data are contained within test materials, these have been considered and referred to if appropriate. This includes statistical significance and prevalence</w:t>
      </w:r>
      <w:r w:rsidR="00E43FFD" w:rsidRPr="00B22A66">
        <w:rPr>
          <w:sz w:val="24"/>
          <w:szCs w:val="24"/>
        </w:rPr>
        <w:t>.</w:t>
      </w:r>
    </w:p>
    <w:p w14:paraId="26D0E370" w14:textId="098CDCAD" w:rsidR="00D22710" w:rsidRPr="00B22A66" w:rsidRDefault="00D22710" w:rsidP="00D22710">
      <w:pPr>
        <w:pStyle w:val="NoSpacing"/>
        <w:spacing w:after="120" w:line="276" w:lineRule="auto"/>
        <w:ind w:left="360"/>
        <w:rPr>
          <w:b/>
          <w:bCs/>
          <w:sz w:val="24"/>
          <w:szCs w:val="24"/>
          <w:highlight w:val="lightGray"/>
        </w:rPr>
      </w:pPr>
      <w:r w:rsidRPr="00B22A66">
        <w:rPr>
          <w:color w:val="000000" w:themeColor="text1"/>
          <w:sz w:val="24"/>
          <w:szCs w:val="24"/>
        </w:rPr>
        <w:t xml:space="preserve">There is a thorough understanding of implications of the </w:t>
      </w:r>
      <w:r w:rsidRPr="00B22A66">
        <w:rPr>
          <w:sz w:val="24"/>
          <w:szCs w:val="24"/>
        </w:rPr>
        <w:t>age</w:t>
      </w:r>
      <w:r w:rsidRPr="00B22A66">
        <w:rPr>
          <w:color w:val="000000" w:themeColor="text1"/>
          <w:sz w:val="24"/>
          <w:szCs w:val="24"/>
        </w:rPr>
        <w:t xml:space="preserve"> limitations of the normative data provided</w:t>
      </w:r>
      <w:r w:rsidR="00CF2D6D">
        <w:rPr>
          <w:color w:val="000000" w:themeColor="text1"/>
          <w:sz w:val="24"/>
          <w:szCs w:val="24"/>
        </w:rPr>
        <w:t>.</w:t>
      </w:r>
    </w:p>
    <w:p w14:paraId="4F91CB9D" w14:textId="77777777" w:rsidR="00B22A66" w:rsidRPr="001D0B1C" w:rsidRDefault="00B22A66" w:rsidP="00E43FFD">
      <w:pPr>
        <w:pStyle w:val="NoSpacing"/>
        <w:numPr>
          <w:ilvl w:val="0"/>
          <w:numId w:val="17"/>
        </w:numPr>
        <w:spacing w:after="120" w:line="276" w:lineRule="auto"/>
        <w:rPr>
          <w:b/>
          <w:bCs/>
          <w:color w:val="000000" w:themeColor="text1"/>
          <w:sz w:val="24"/>
          <w:szCs w:val="24"/>
        </w:rPr>
      </w:pPr>
      <w:r w:rsidRPr="00B22A66">
        <w:rPr>
          <w:color w:val="000000" w:themeColor="text1"/>
          <w:sz w:val="24"/>
          <w:szCs w:val="24"/>
        </w:rPr>
        <w:t xml:space="preserve">Unexpectedness and differences in performance across the areas of assessment are </w:t>
      </w:r>
      <w:r w:rsidRPr="001D0B1C">
        <w:rPr>
          <w:color w:val="000000" w:themeColor="text1"/>
          <w:sz w:val="24"/>
          <w:szCs w:val="24"/>
        </w:rPr>
        <w:t>acknowledged and discussed.</w:t>
      </w:r>
    </w:p>
    <w:p w14:paraId="4DBA807D" w14:textId="6768F68D" w:rsidR="00E43FFD" w:rsidRPr="001D0B1C" w:rsidRDefault="00B22A66" w:rsidP="00E43FFD">
      <w:pPr>
        <w:pStyle w:val="NoSpacing"/>
        <w:numPr>
          <w:ilvl w:val="0"/>
          <w:numId w:val="17"/>
        </w:numPr>
        <w:spacing w:after="120" w:line="276" w:lineRule="auto"/>
        <w:rPr>
          <w:b/>
          <w:bCs/>
          <w:color w:val="000000" w:themeColor="text1"/>
          <w:sz w:val="24"/>
          <w:szCs w:val="24"/>
        </w:rPr>
      </w:pPr>
      <w:r w:rsidRPr="001D0B1C">
        <w:rPr>
          <w:color w:val="000000" w:themeColor="text1"/>
          <w:sz w:val="24"/>
          <w:szCs w:val="24"/>
        </w:rPr>
        <w:t xml:space="preserve">All areas of assessment discussed </w:t>
      </w:r>
      <w:r w:rsidR="00E43FFD" w:rsidRPr="001D0B1C">
        <w:rPr>
          <w:color w:val="000000" w:themeColor="text1"/>
          <w:sz w:val="24"/>
          <w:szCs w:val="24"/>
        </w:rPr>
        <w:t xml:space="preserve">are accompanied by relevant qualitative analysis, </w:t>
      </w:r>
      <w:r w:rsidRPr="001D0B1C">
        <w:rPr>
          <w:color w:val="000000" w:themeColor="text1"/>
          <w:sz w:val="24"/>
          <w:szCs w:val="24"/>
        </w:rPr>
        <w:t xml:space="preserve">i.e. </w:t>
      </w:r>
      <w:r w:rsidR="00E43FFD" w:rsidRPr="001D0B1C">
        <w:rPr>
          <w:color w:val="000000" w:themeColor="text1"/>
          <w:sz w:val="24"/>
          <w:szCs w:val="24"/>
        </w:rPr>
        <w:t xml:space="preserve">observation and evaluation of performance, noting the possible effect on test </w:t>
      </w:r>
      <w:r w:rsidRPr="001D0B1C">
        <w:rPr>
          <w:color w:val="000000" w:themeColor="text1"/>
          <w:sz w:val="24"/>
          <w:szCs w:val="24"/>
        </w:rPr>
        <w:t>results</w:t>
      </w:r>
      <w:r w:rsidR="00E43FFD" w:rsidRPr="001D0B1C">
        <w:rPr>
          <w:color w:val="000000" w:themeColor="text1"/>
          <w:sz w:val="24"/>
          <w:szCs w:val="24"/>
        </w:rPr>
        <w:t xml:space="preserve"> of any compensatory strategies that might have been used.</w:t>
      </w:r>
    </w:p>
    <w:p w14:paraId="494F5BDD" w14:textId="655CA19B" w:rsidR="00B22A66" w:rsidRPr="001D0B1C" w:rsidRDefault="00B22A66" w:rsidP="00E43FFD">
      <w:pPr>
        <w:pStyle w:val="NoSpacing"/>
        <w:numPr>
          <w:ilvl w:val="0"/>
          <w:numId w:val="17"/>
        </w:numPr>
        <w:spacing w:after="120" w:line="276" w:lineRule="auto"/>
        <w:rPr>
          <w:b/>
          <w:bCs/>
          <w:sz w:val="24"/>
          <w:szCs w:val="24"/>
        </w:rPr>
      </w:pPr>
      <w:r w:rsidRPr="001D0B1C">
        <w:rPr>
          <w:color w:val="000000" w:themeColor="text1"/>
          <w:sz w:val="24"/>
          <w:szCs w:val="24"/>
        </w:rPr>
        <w:t xml:space="preserve">Quantitative and qualitative information across the report is consistent and areas of assessment are linked to provide a clear interpretation and synthesis of all the </w:t>
      </w:r>
      <w:r w:rsidRPr="001D0B1C">
        <w:rPr>
          <w:color w:val="000000" w:themeColor="text1"/>
          <w:sz w:val="24"/>
          <w:szCs w:val="24"/>
        </w:rPr>
        <w:lastRenderedPageBreak/>
        <w:t>assessment evidence.</w:t>
      </w:r>
    </w:p>
    <w:p w14:paraId="5F9BB2E6" w14:textId="4EF382A1" w:rsidR="00E43FFD" w:rsidRPr="00B22A66" w:rsidRDefault="00D22710" w:rsidP="00E43FFD">
      <w:pPr>
        <w:pStyle w:val="NoSpacing"/>
        <w:numPr>
          <w:ilvl w:val="0"/>
          <w:numId w:val="17"/>
        </w:numPr>
        <w:spacing w:after="120" w:line="276" w:lineRule="auto"/>
        <w:rPr>
          <w:b/>
          <w:bCs/>
          <w:sz w:val="24"/>
          <w:szCs w:val="24"/>
        </w:rPr>
      </w:pPr>
      <w:r w:rsidRPr="00B22A66">
        <w:rPr>
          <w:rFonts w:ascii="Calibri" w:eastAsia="Times New Roman" w:hAnsi="Calibri" w:cs="Calibri"/>
          <w:sz w:val="24"/>
          <w:szCs w:val="24"/>
        </w:rPr>
        <w:t>The diagnostic decision is clearly stated and supported by evidence contained within the report, including the background information</w:t>
      </w:r>
      <w:r w:rsidR="00E43FFD" w:rsidRPr="00B22A66">
        <w:rPr>
          <w:rFonts w:ascii="Calibri" w:eastAsia="Times New Roman" w:hAnsi="Calibri" w:cs="Calibri"/>
          <w:sz w:val="24"/>
          <w:szCs w:val="24"/>
        </w:rPr>
        <w:t>.</w:t>
      </w:r>
    </w:p>
    <w:p w14:paraId="6F991ED8" w14:textId="7D06C08D" w:rsidR="00D22710" w:rsidRPr="00B22A66" w:rsidRDefault="00D22710" w:rsidP="00D22710">
      <w:pPr>
        <w:pStyle w:val="NoSpacing"/>
        <w:spacing w:after="120" w:line="276" w:lineRule="auto"/>
        <w:ind w:left="360"/>
        <w:rPr>
          <w:b/>
          <w:bCs/>
          <w:sz w:val="24"/>
          <w:szCs w:val="24"/>
        </w:rPr>
      </w:pPr>
      <w:r w:rsidRPr="00B22A66">
        <w:rPr>
          <w:rFonts w:ascii="Calibri" w:eastAsia="Times New Roman" w:hAnsi="Calibri" w:cs="Calibri"/>
          <w:sz w:val="24"/>
          <w:szCs w:val="24"/>
        </w:rPr>
        <w:t xml:space="preserve">The decision has been </w:t>
      </w:r>
      <w:r w:rsidRPr="00B22A66">
        <w:rPr>
          <w:sz w:val="24"/>
          <w:szCs w:val="24"/>
        </w:rPr>
        <w:t>made</w:t>
      </w:r>
      <w:r w:rsidRPr="00B22A66">
        <w:rPr>
          <w:rFonts w:ascii="Calibri" w:eastAsia="Times New Roman" w:hAnsi="Calibri" w:cs="Calibri"/>
          <w:sz w:val="24"/>
          <w:szCs w:val="24"/>
        </w:rPr>
        <w:t xml:space="preserve"> with due regard to professional limits.</w:t>
      </w:r>
    </w:p>
    <w:p w14:paraId="732B1CA9" w14:textId="4CB973EE" w:rsidR="00E43FFD" w:rsidRPr="00B22A66" w:rsidRDefault="00D22710" w:rsidP="00E43FFD">
      <w:pPr>
        <w:pStyle w:val="NoSpacing"/>
        <w:numPr>
          <w:ilvl w:val="0"/>
          <w:numId w:val="17"/>
        </w:numPr>
        <w:spacing w:after="120" w:line="276" w:lineRule="auto"/>
        <w:rPr>
          <w:b/>
          <w:bCs/>
          <w:sz w:val="24"/>
          <w:szCs w:val="24"/>
        </w:rPr>
      </w:pPr>
      <w:r w:rsidRPr="00B22A66">
        <w:rPr>
          <w:rFonts w:ascii="Calibri" w:eastAsia="Times New Roman" w:hAnsi="Calibri" w:cs="Calibri"/>
          <w:sz w:val="24"/>
          <w:szCs w:val="24"/>
        </w:rPr>
        <w:t>T</w:t>
      </w:r>
      <w:r w:rsidRPr="00B22A66">
        <w:rPr>
          <w:sz w:val="24"/>
          <w:szCs w:val="24"/>
        </w:rPr>
        <w:t>he definition(s) used for the SpLD(s) under consideration are complete versions, up to date, recognised and referenced</w:t>
      </w:r>
      <w:r w:rsidR="00E43FFD" w:rsidRPr="00B22A66">
        <w:rPr>
          <w:sz w:val="24"/>
          <w:szCs w:val="24"/>
        </w:rPr>
        <w:t>.</w:t>
      </w:r>
    </w:p>
    <w:p w14:paraId="57F769F1" w14:textId="3488E4F1" w:rsidR="00E43FFD" w:rsidRPr="00B22A66" w:rsidRDefault="00D22710" w:rsidP="00D22710">
      <w:pPr>
        <w:pStyle w:val="NoSpacing"/>
        <w:numPr>
          <w:ilvl w:val="0"/>
          <w:numId w:val="17"/>
        </w:numPr>
        <w:spacing w:after="120" w:line="276" w:lineRule="auto"/>
        <w:rPr>
          <w:b/>
          <w:bCs/>
          <w:sz w:val="24"/>
          <w:szCs w:val="24"/>
        </w:rPr>
      </w:pPr>
      <w:r w:rsidRPr="00B22A66">
        <w:rPr>
          <w:sz w:val="24"/>
          <w:szCs w:val="24"/>
        </w:rPr>
        <w:t xml:space="preserve">The report clearly outlines areas of strength or challenge and how these may impact on learning </w:t>
      </w:r>
      <w:r w:rsidR="00926AC2">
        <w:rPr>
          <w:sz w:val="24"/>
          <w:szCs w:val="24"/>
        </w:rPr>
        <w:t>or other areas of life.</w:t>
      </w:r>
    </w:p>
    <w:p w14:paraId="49A827C7" w14:textId="528A73C5"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Recommendations are clear and individually tailored</w:t>
      </w:r>
      <w:r w:rsidR="00E43FFD" w:rsidRPr="00B22A66">
        <w:rPr>
          <w:sz w:val="24"/>
          <w:szCs w:val="24"/>
        </w:rPr>
        <w:t>.</w:t>
      </w:r>
    </w:p>
    <w:p w14:paraId="530AE657" w14:textId="4A9F009E" w:rsidR="00E43FFD" w:rsidRPr="00B22A66" w:rsidRDefault="00D22710" w:rsidP="00E43FFD">
      <w:pPr>
        <w:pStyle w:val="NoSpacing"/>
        <w:numPr>
          <w:ilvl w:val="0"/>
          <w:numId w:val="17"/>
        </w:numPr>
        <w:spacing w:after="120" w:line="276" w:lineRule="auto"/>
        <w:rPr>
          <w:b/>
          <w:bCs/>
          <w:sz w:val="24"/>
          <w:szCs w:val="24"/>
        </w:rPr>
      </w:pPr>
      <w:r w:rsidRPr="00B22A66">
        <w:rPr>
          <w:sz w:val="24"/>
          <w:szCs w:val="24"/>
        </w:rPr>
        <w:t>Accessibility has been considered for the non-specialist in terms of sensitive and professional language. The format is in accordance with SASC guidance</w:t>
      </w:r>
      <w:r w:rsidR="00E43FFD" w:rsidRPr="00B22A66">
        <w:rPr>
          <w:sz w:val="24"/>
          <w:szCs w:val="24"/>
        </w:rPr>
        <w:t>.</w:t>
      </w:r>
    </w:p>
    <w:p w14:paraId="44DF5BE6" w14:textId="3BD0ED16" w:rsidR="00F93A67" w:rsidRPr="00F53776" w:rsidRDefault="007A0F81" w:rsidP="00BF0F90">
      <w:pPr>
        <w:pStyle w:val="NoSpacing"/>
        <w:spacing w:line="276" w:lineRule="auto"/>
        <w:rPr>
          <w:b/>
          <w:sz w:val="24"/>
        </w:rPr>
      </w:pPr>
      <w:r w:rsidRPr="00F53776">
        <w:rPr>
          <w:b/>
          <w:sz w:val="28"/>
          <w:szCs w:val="24"/>
        </w:rPr>
        <w:br w:type="page"/>
      </w:r>
      <w:r w:rsidR="00BF0F90">
        <w:rPr>
          <w:b/>
          <w:sz w:val="28"/>
          <w:szCs w:val="24"/>
        </w:rPr>
        <w:lastRenderedPageBreak/>
        <w:t>Possible outcomes</w:t>
      </w:r>
      <w:r w:rsidR="00E7673F" w:rsidRPr="00F53776">
        <w:rPr>
          <w:b/>
          <w:sz w:val="28"/>
          <w:szCs w:val="24"/>
        </w:rPr>
        <w:t xml:space="preserve"> following review of report submitted for evaluation</w:t>
      </w:r>
    </w:p>
    <w:tbl>
      <w:tblPr>
        <w:tblStyle w:val="TableGrid"/>
        <w:tblW w:w="10031" w:type="dxa"/>
        <w:tblLayout w:type="fixed"/>
        <w:tblLook w:val="00A0" w:firstRow="1" w:lastRow="0" w:firstColumn="1" w:lastColumn="0" w:noHBand="0" w:noVBand="0"/>
      </w:tblPr>
      <w:tblGrid>
        <w:gridCol w:w="515"/>
        <w:gridCol w:w="2428"/>
        <w:gridCol w:w="3261"/>
        <w:gridCol w:w="1003"/>
        <w:gridCol w:w="2824"/>
      </w:tblGrid>
      <w:tr w:rsidR="00D12CBB" w:rsidRPr="00E7673F" w14:paraId="255A2B06" w14:textId="77777777">
        <w:trPr>
          <w:trHeight w:val="2324"/>
        </w:trPr>
        <w:tc>
          <w:tcPr>
            <w:tcW w:w="515" w:type="dxa"/>
          </w:tcPr>
          <w:p w14:paraId="5F13BD8B" w14:textId="77777777" w:rsidR="00D12CBB" w:rsidRPr="00E7673F" w:rsidRDefault="00D12CBB" w:rsidP="00F532A1">
            <w:pPr>
              <w:pStyle w:val="NoSpacing"/>
              <w:spacing w:before="360" w:after="360"/>
              <w:rPr>
                <w:rFonts w:cstheme="majorHAnsi"/>
                <w:sz w:val="24"/>
              </w:rPr>
            </w:pPr>
            <w:r w:rsidRPr="00E7673F">
              <w:rPr>
                <w:rFonts w:cstheme="majorHAnsi"/>
                <w:sz w:val="24"/>
              </w:rPr>
              <w:t>A</w:t>
            </w:r>
          </w:p>
        </w:tc>
        <w:tc>
          <w:tcPr>
            <w:tcW w:w="2428" w:type="dxa"/>
          </w:tcPr>
          <w:p w14:paraId="135B6EF1" w14:textId="77777777" w:rsidR="00D12CBB" w:rsidRPr="00E7673F" w:rsidRDefault="00D12CBB" w:rsidP="00F53776">
            <w:pPr>
              <w:pStyle w:val="NoSpacing"/>
              <w:spacing w:before="360"/>
              <w:rPr>
                <w:rFonts w:cstheme="majorHAnsi"/>
              </w:rPr>
            </w:pPr>
            <w:r w:rsidRPr="00E7673F">
              <w:rPr>
                <w:rFonts w:cstheme="majorHAnsi"/>
              </w:rPr>
              <w:t xml:space="preserve">Criteria met </w:t>
            </w:r>
          </w:p>
        </w:tc>
        <w:tc>
          <w:tcPr>
            <w:tcW w:w="3261" w:type="dxa"/>
          </w:tcPr>
          <w:p w14:paraId="35BBC72D" w14:textId="77777777" w:rsidR="00D12CBB" w:rsidRPr="00E7673F" w:rsidRDefault="00D12CBB" w:rsidP="00AE77C1">
            <w:pPr>
              <w:pStyle w:val="NoSpacing"/>
              <w:numPr>
                <w:ilvl w:val="0"/>
                <w:numId w:val="10"/>
              </w:numPr>
              <w:spacing w:before="120"/>
              <w:ind w:left="714" w:hanging="357"/>
              <w:rPr>
                <w:rFonts w:cstheme="majorHAnsi"/>
              </w:rPr>
            </w:pPr>
            <w:r w:rsidRPr="00E7673F">
              <w:rPr>
                <w:rFonts w:cstheme="majorHAnsi"/>
              </w:rPr>
              <w:t>APC Issued</w:t>
            </w:r>
          </w:p>
          <w:p w14:paraId="7FD4E8F4" w14:textId="6D5C3A46" w:rsidR="00D12CBB" w:rsidRPr="00E7673F" w:rsidRDefault="00D12CBB" w:rsidP="00FD2704">
            <w:pPr>
              <w:pStyle w:val="NoSpacing"/>
              <w:spacing w:after="120"/>
              <w:ind w:left="714"/>
              <w:rPr>
                <w:rFonts w:cstheme="majorHAnsi"/>
              </w:rPr>
            </w:pPr>
          </w:p>
        </w:tc>
        <w:tc>
          <w:tcPr>
            <w:tcW w:w="1003" w:type="dxa"/>
            <w:vMerge w:val="restart"/>
            <w:tcBorders>
              <w:right w:val="nil"/>
            </w:tcBorders>
          </w:tcPr>
          <w:p w14:paraId="25F9D027" w14:textId="77777777" w:rsidR="00D12CBB" w:rsidRPr="00E7673F" w:rsidRDefault="00D12CBB" w:rsidP="00AE77C1">
            <w:pPr>
              <w:pStyle w:val="NoSpacing"/>
              <w:rPr>
                <w:rFonts w:ascii="AppleMyungjo" w:eastAsia="AppleMyungjo" w:hAnsi="AppleMyungjo" w:cstheme="majorHAnsi"/>
                <w:color w:val="AEAAAA" w:themeColor="background2" w:themeShade="BF"/>
              </w:rPr>
            </w:pPr>
            <w:r w:rsidRPr="00E7673F">
              <w:rPr>
                <w:rFonts w:ascii="AppleMyungjo" w:eastAsia="AppleMyungjo" w:hAnsi="AppleMyungjo" w:cstheme="majorHAnsi"/>
                <w:color w:val="AEAAAA" w:themeColor="background2" w:themeShade="BF"/>
                <w:sz w:val="240"/>
              </w:rPr>
              <w:sym w:font="Symbol" w:char="F07D"/>
            </w:r>
          </w:p>
        </w:tc>
        <w:tc>
          <w:tcPr>
            <w:tcW w:w="2824" w:type="dxa"/>
            <w:vMerge w:val="restart"/>
            <w:tcBorders>
              <w:left w:val="nil"/>
            </w:tcBorders>
          </w:tcPr>
          <w:p w14:paraId="7BB33737" w14:textId="77777777" w:rsidR="00F93A67" w:rsidRPr="00E7673F" w:rsidRDefault="00D12CBB" w:rsidP="00AE77C1">
            <w:pPr>
              <w:pStyle w:val="NoSpacing"/>
              <w:spacing w:before="1080"/>
              <w:rPr>
                <w:rFonts w:cstheme="majorHAnsi"/>
              </w:rPr>
            </w:pPr>
            <w:r w:rsidRPr="00E7673F">
              <w:rPr>
                <w:rFonts w:cstheme="majorHAnsi"/>
              </w:rPr>
              <w:t xml:space="preserve">Any supporting document the reviewer feels necessary can be requested </w:t>
            </w:r>
            <w:r w:rsidRPr="00397D74">
              <w:rPr>
                <w:rFonts w:cstheme="majorHAnsi"/>
              </w:rPr>
              <w:t>at any stage</w:t>
            </w:r>
          </w:p>
        </w:tc>
      </w:tr>
      <w:tr w:rsidR="00D12CBB" w:rsidRPr="00E7673F" w14:paraId="6F5F854E" w14:textId="77777777">
        <w:tc>
          <w:tcPr>
            <w:tcW w:w="515" w:type="dxa"/>
          </w:tcPr>
          <w:p w14:paraId="0F314A58" w14:textId="77777777" w:rsidR="00D12CBB" w:rsidRPr="00E7673F" w:rsidRDefault="00D12CBB" w:rsidP="00F532A1">
            <w:pPr>
              <w:pStyle w:val="NoSpacing"/>
              <w:spacing w:before="360" w:after="360"/>
              <w:rPr>
                <w:rFonts w:cstheme="majorHAnsi"/>
                <w:sz w:val="24"/>
              </w:rPr>
            </w:pPr>
            <w:r w:rsidRPr="00E7673F">
              <w:rPr>
                <w:rFonts w:cstheme="majorHAnsi"/>
                <w:sz w:val="24"/>
              </w:rPr>
              <w:t>B</w:t>
            </w:r>
          </w:p>
        </w:tc>
        <w:tc>
          <w:tcPr>
            <w:tcW w:w="2428" w:type="dxa"/>
          </w:tcPr>
          <w:p w14:paraId="70FDB82E" w14:textId="77777777" w:rsidR="00F93A67" w:rsidRPr="00E7673F" w:rsidRDefault="00AE77C1" w:rsidP="00AE77C1">
            <w:pPr>
              <w:pStyle w:val="NoSpacing"/>
              <w:spacing w:before="360"/>
              <w:rPr>
                <w:rFonts w:cstheme="majorHAnsi"/>
              </w:rPr>
            </w:pPr>
            <w:r>
              <w:rPr>
                <w:rFonts w:cstheme="majorHAnsi"/>
              </w:rPr>
              <w:t>Criteria not met</w:t>
            </w:r>
          </w:p>
        </w:tc>
        <w:tc>
          <w:tcPr>
            <w:tcW w:w="3261" w:type="dxa"/>
          </w:tcPr>
          <w:p w14:paraId="508FAEFA" w14:textId="77777777" w:rsidR="00D12CBB" w:rsidRPr="00E7673F" w:rsidRDefault="00D12CBB" w:rsidP="00AE77C1">
            <w:pPr>
              <w:pStyle w:val="NoSpacing"/>
              <w:numPr>
                <w:ilvl w:val="0"/>
                <w:numId w:val="10"/>
              </w:numPr>
              <w:spacing w:before="120"/>
              <w:ind w:left="714" w:hanging="357"/>
              <w:rPr>
                <w:rFonts w:cstheme="majorHAnsi"/>
              </w:rPr>
            </w:pPr>
            <w:r w:rsidRPr="00E7673F">
              <w:rPr>
                <w:rFonts w:cstheme="majorHAnsi"/>
              </w:rPr>
              <w:t>Feedback supplied</w:t>
            </w:r>
          </w:p>
          <w:p w14:paraId="333886CF" w14:textId="77777777" w:rsidR="00D12CBB" w:rsidRPr="00E7673F" w:rsidRDefault="00D12CBB" w:rsidP="00F53776">
            <w:pPr>
              <w:pStyle w:val="NoSpacing"/>
              <w:numPr>
                <w:ilvl w:val="0"/>
                <w:numId w:val="10"/>
              </w:numPr>
              <w:ind w:left="714" w:hanging="357"/>
              <w:rPr>
                <w:rFonts w:cstheme="majorHAnsi"/>
              </w:rPr>
            </w:pPr>
            <w:r w:rsidRPr="00E7673F">
              <w:rPr>
                <w:rFonts w:cstheme="majorHAnsi"/>
              </w:rPr>
              <w:t>Second report requested</w:t>
            </w:r>
          </w:p>
        </w:tc>
        <w:tc>
          <w:tcPr>
            <w:tcW w:w="1003" w:type="dxa"/>
            <w:vMerge/>
            <w:tcBorders>
              <w:right w:val="nil"/>
            </w:tcBorders>
          </w:tcPr>
          <w:p w14:paraId="1A9892CF" w14:textId="77777777" w:rsidR="00D12CBB" w:rsidRPr="00E7673F" w:rsidRDefault="00D12CBB" w:rsidP="00F532A1">
            <w:pPr>
              <w:pStyle w:val="NoSpacing"/>
              <w:spacing w:before="360" w:after="360"/>
              <w:rPr>
                <w:rFonts w:cstheme="majorHAnsi"/>
                <w:sz w:val="24"/>
              </w:rPr>
            </w:pPr>
          </w:p>
        </w:tc>
        <w:tc>
          <w:tcPr>
            <w:tcW w:w="2824" w:type="dxa"/>
            <w:vMerge/>
            <w:tcBorders>
              <w:left w:val="nil"/>
            </w:tcBorders>
          </w:tcPr>
          <w:p w14:paraId="6A44E058" w14:textId="77777777" w:rsidR="00D12CBB" w:rsidRPr="00E7673F" w:rsidRDefault="00D12CBB" w:rsidP="00F532A1">
            <w:pPr>
              <w:pStyle w:val="NoSpacing"/>
              <w:spacing w:before="360" w:after="360"/>
              <w:rPr>
                <w:rFonts w:cstheme="majorHAnsi"/>
                <w:sz w:val="24"/>
              </w:rPr>
            </w:pPr>
          </w:p>
        </w:tc>
      </w:tr>
      <w:tr w:rsidR="00F93A67" w:rsidRPr="00E7673F" w14:paraId="3C8C2791" w14:textId="77777777">
        <w:tc>
          <w:tcPr>
            <w:tcW w:w="10031" w:type="dxa"/>
            <w:gridSpan w:val="5"/>
          </w:tcPr>
          <w:p w14:paraId="7FDDB76B" w14:textId="77777777" w:rsidR="00BF0F90" w:rsidRPr="008213EE" w:rsidRDefault="00BF0F90" w:rsidP="00BF0F90">
            <w:pPr>
              <w:pStyle w:val="ListParagraph"/>
              <w:ind w:left="0"/>
            </w:pPr>
            <w:r w:rsidRPr="008213EE">
              <w:t xml:space="preserve">Each criterion can attract marks as follows: </w:t>
            </w:r>
          </w:p>
          <w:p w14:paraId="77D28711" w14:textId="396F7329" w:rsidR="00BF0F90" w:rsidRPr="008213EE" w:rsidRDefault="00BF0F90" w:rsidP="00BF0F90">
            <w:pPr>
              <w:pStyle w:val="ListParagraph"/>
            </w:pPr>
            <w:r w:rsidRPr="008213EE">
              <w:t>Criterion met – 2 marks</w:t>
            </w:r>
            <w:r w:rsidR="00940348">
              <w:t>;</w:t>
            </w:r>
            <w:r w:rsidRPr="008213EE">
              <w:tab/>
              <w:t>Criterion met in part – 1 mark</w:t>
            </w:r>
            <w:r w:rsidR="00940348">
              <w:t>;</w:t>
            </w:r>
            <w:r w:rsidRPr="008213EE">
              <w:tab/>
            </w:r>
            <w:r w:rsidR="00940348">
              <w:tab/>
            </w:r>
            <w:r w:rsidRPr="008213EE">
              <w:t>Criterion not met - 0</w:t>
            </w:r>
          </w:p>
          <w:p w14:paraId="62949979" w14:textId="77777777" w:rsidR="00BF0F90" w:rsidRPr="008213EE" w:rsidRDefault="00BF0F90" w:rsidP="00BF0F90">
            <w:pPr>
              <w:pStyle w:val="ListParagraph"/>
              <w:ind w:left="0"/>
            </w:pPr>
          </w:p>
          <w:p w14:paraId="79D0B25C" w14:textId="77777777" w:rsidR="00BF0F90" w:rsidRPr="008213EE" w:rsidRDefault="00BF0F90" w:rsidP="00BF0F90">
            <w:pPr>
              <w:pStyle w:val="ListParagraph"/>
              <w:ind w:left="0"/>
            </w:pPr>
            <w:bookmarkStart w:id="1" w:name="_Hlk25918003"/>
            <w:r w:rsidRPr="008213EE">
              <w:t>The successful outcome of the review will then be based on two premises:</w:t>
            </w:r>
          </w:p>
          <w:p w14:paraId="61F0E4BB" w14:textId="77777777" w:rsidR="00BF0F90" w:rsidRPr="008213EE" w:rsidRDefault="00BF0F90" w:rsidP="00BF0F90">
            <w:pPr>
              <w:pStyle w:val="ListParagraph"/>
              <w:numPr>
                <w:ilvl w:val="0"/>
                <w:numId w:val="23"/>
              </w:numPr>
              <w:spacing w:line="252" w:lineRule="auto"/>
              <w:rPr>
                <w:rFonts w:eastAsia="Times New Roman"/>
              </w:rPr>
            </w:pPr>
            <w:r w:rsidRPr="008213EE">
              <w:rPr>
                <w:rFonts w:eastAsia="Times New Roman"/>
              </w:rPr>
              <w:t xml:space="preserve">There are no marks of zero </w:t>
            </w:r>
          </w:p>
          <w:p w14:paraId="565779D8" w14:textId="471751AC" w:rsidR="00BF0F90" w:rsidRPr="008213EE" w:rsidRDefault="00BF0F90" w:rsidP="00BF0F90">
            <w:pPr>
              <w:pStyle w:val="ListParagraph"/>
              <w:numPr>
                <w:ilvl w:val="0"/>
                <w:numId w:val="23"/>
              </w:numPr>
              <w:spacing w:line="252" w:lineRule="auto"/>
              <w:rPr>
                <w:rFonts w:eastAsia="Times New Roman"/>
              </w:rPr>
            </w:pPr>
            <w:r w:rsidRPr="008213EE">
              <w:rPr>
                <w:rFonts w:eastAsia="Times New Roman"/>
              </w:rPr>
              <w:t xml:space="preserve">The total score does not fall below the agreed base standard of 23 marks out of 30 [77%] </w:t>
            </w:r>
          </w:p>
          <w:bookmarkEnd w:id="1"/>
          <w:p w14:paraId="3E89EC69" w14:textId="29F35E88" w:rsidR="00F93A67" w:rsidRPr="008213EE" w:rsidRDefault="00F93A67" w:rsidP="00F93A67">
            <w:pPr>
              <w:pStyle w:val="NoSpacing"/>
              <w:spacing w:before="360" w:after="360"/>
              <w:rPr>
                <w:rFonts w:cstheme="majorHAnsi"/>
                <w:szCs w:val="20"/>
              </w:rPr>
            </w:pPr>
            <w:r w:rsidRPr="008213EE">
              <w:rPr>
                <w:rFonts w:cstheme="majorHAnsi"/>
                <w:b/>
                <w:bCs/>
                <w:szCs w:val="20"/>
              </w:rPr>
              <w:t>Please Note</w:t>
            </w:r>
            <w:r w:rsidRPr="008213EE">
              <w:rPr>
                <w:rFonts w:cstheme="majorHAnsi"/>
                <w:szCs w:val="20"/>
              </w:rPr>
              <w:t xml:space="preserve">: </w:t>
            </w:r>
            <w:r w:rsidR="00BF0F90" w:rsidRPr="008213EE">
              <w:rPr>
                <w:rFonts w:cstheme="majorHAnsi"/>
                <w:szCs w:val="20"/>
              </w:rPr>
              <w:t>Any second</w:t>
            </w:r>
            <w:r w:rsidRPr="008213EE">
              <w:rPr>
                <w:rFonts w:cstheme="majorHAnsi"/>
                <w:szCs w:val="20"/>
              </w:rPr>
              <w:t xml:space="preserve"> submitted report is evaluated using same criteria. If this report also fails to meet the standard the APC </w:t>
            </w:r>
            <w:r w:rsidR="00753BC6" w:rsidRPr="008213EE">
              <w:rPr>
                <w:rFonts w:cstheme="majorHAnsi"/>
                <w:szCs w:val="20"/>
              </w:rPr>
              <w:t xml:space="preserve">will not be </w:t>
            </w:r>
            <w:r w:rsidR="00BF0F90" w:rsidRPr="008213EE">
              <w:rPr>
                <w:rFonts w:cstheme="majorHAnsi"/>
                <w:szCs w:val="20"/>
              </w:rPr>
              <w:t>awarded</w:t>
            </w:r>
            <w:r w:rsidRPr="008213EE">
              <w:rPr>
                <w:rFonts w:cstheme="majorHAnsi"/>
                <w:szCs w:val="20"/>
              </w:rPr>
              <w:t>.</w:t>
            </w:r>
            <w:r w:rsidR="00BF0F90" w:rsidRPr="008213EE">
              <w:rPr>
                <w:rFonts w:cstheme="majorHAnsi"/>
                <w:szCs w:val="20"/>
              </w:rPr>
              <w:t xml:space="preserve"> The candidate will have to submit new assessment evidence</w:t>
            </w:r>
            <w:r w:rsidR="008213EE" w:rsidRPr="008213EE">
              <w:rPr>
                <w:rFonts w:cstheme="majorHAnsi"/>
                <w:szCs w:val="20"/>
              </w:rPr>
              <w:t xml:space="preserve"> to complete the process in full.</w:t>
            </w:r>
          </w:p>
          <w:p w14:paraId="4C3F4159" w14:textId="628BCC41" w:rsidR="00F93A67" w:rsidRPr="008213EE" w:rsidRDefault="00F93A67" w:rsidP="00F93A67">
            <w:pPr>
              <w:widowControl w:val="0"/>
              <w:ind w:left="218" w:right="-20"/>
              <w:rPr>
                <w:rFonts w:eastAsia="Arial" w:cstheme="minorHAnsi"/>
                <w:b/>
                <w:bCs/>
                <w:lang w:val="en-US"/>
              </w:rPr>
            </w:pPr>
            <w:r w:rsidRPr="008213EE">
              <w:rPr>
                <w:rFonts w:eastAsia="Arial" w:cstheme="minorHAnsi"/>
                <w:b/>
                <w:bCs/>
                <w:lang w:val="en-US"/>
              </w:rPr>
              <w:t>Respo</w:t>
            </w:r>
            <w:r w:rsidRPr="008213EE">
              <w:rPr>
                <w:rFonts w:eastAsia="Arial" w:cstheme="minorHAnsi"/>
                <w:b/>
                <w:bCs/>
                <w:spacing w:val="1"/>
                <w:lang w:val="en-US"/>
              </w:rPr>
              <w:t>n</w:t>
            </w:r>
            <w:r w:rsidRPr="008213EE">
              <w:rPr>
                <w:rFonts w:eastAsia="Arial" w:cstheme="minorHAnsi"/>
                <w:b/>
                <w:bCs/>
                <w:lang w:val="en-US"/>
              </w:rPr>
              <w:t xml:space="preserve">se </w:t>
            </w:r>
            <w:r w:rsidRPr="008213EE">
              <w:rPr>
                <w:rFonts w:eastAsia="Arial" w:cstheme="minorHAnsi"/>
                <w:b/>
                <w:bCs/>
                <w:spacing w:val="2"/>
                <w:lang w:val="en-US"/>
              </w:rPr>
              <w:t>w</w:t>
            </w:r>
            <w:r w:rsidRPr="008213EE">
              <w:rPr>
                <w:rFonts w:eastAsia="Arial" w:cstheme="minorHAnsi"/>
                <w:b/>
                <w:bCs/>
                <w:lang w:val="en-US"/>
              </w:rPr>
              <w:t xml:space="preserve">hen APC application is </w:t>
            </w:r>
            <w:r w:rsidR="00753BC6" w:rsidRPr="008213EE">
              <w:rPr>
                <w:rFonts w:eastAsia="Arial" w:cstheme="minorHAnsi"/>
                <w:b/>
                <w:bCs/>
                <w:lang w:val="en-US"/>
              </w:rPr>
              <w:t>not successful</w:t>
            </w:r>
          </w:p>
          <w:p w14:paraId="31BADEEE" w14:textId="77777777" w:rsidR="00F93A67" w:rsidRPr="008213EE" w:rsidRDefault="00F93A67" w:rsidP="00F93A67">
            <w:pPr>
              <w:widowControl w:val="0"/>
              <w:ind w:left="218" w:right="-20"/>
              <w:rPr>
                <w:rFonts w:eastAsia="Arial" w:cstheme="minorHAnsi"/>
                <w:sz w:val="14"/>
                <w:szCs w:val="14"/>
                <w:lang w:val="en-US"/>
              </w:rPr>
            </w:pPr>
          </w:p>
          <w:p w14:paraId="69072401" w14:textId="5577FBC4" w:rsidR="00F93A67" w:rsidRPr="008213EE" w:rsidRDefault="00F93A67" w:rsidP="00F93A67">
            <w:pPr>
              <w:widowControl w:val="0"/>
              <w:tabs>
                <w:tab w:val="left" w:pos="540"/>
              </w:tabs>
              <w:spacing w:line="276" w:lineRule="auto"/>
              <w:ind w:left="218" w:right="-20"/>
              <w:rPr>
                <w:rFonts w:eastAsia="Arial" w:cstheme="minorHAnsi"/>
                <w:lang w:val="en-US"/>
              </w:rPr>
            </w:pPr>
            <w:r w:rsidRPr="008213EE">
              <w:rPr>
                <w:rFonts w:eastAsia="Times New Roman" w:cstheme="minorHAnsi"/>
                <w:w w:val="131"/>
                <w:lang w:val="en-US"/>
              </w:rPr>
              <w:t>•</w:t>
            </w:r>
            <w:r w:rsidRPr="008213EE">
              <w:rPr>
                <w:rFonts w:eastAsia="Times New Roman" w:cstheme="minorHAnsi"/>
                <w:lang w:val="en-US"/>
              </w:rPr>
              <w:tab/>
            </w:r>
            <w:r w:rsidRPr="008213EE">
              <w:rPr>
                <w:rFonts w:eastAsia="Arial" w:cstheme="minorHAnsi"/>
                <w:lang w:val="en-US"/>
              </w:rPr>
              <w:t xml:space="preserve">Assessor’s listing on </w:t>
            </w:r>
            <w:r w:rsidRPr="008213EE">
              <w:rPr>
                <w:rFonts w:eastAsia="Arial" w:cstheme="minorHAnsi"/>
                <w:spacing w:val="-2"/>
                <w:lang w:val="en-US"/>
              </w:rPr>
              <w:t>S</w:t>
            </w:r>
            <w:r w:rsidRPr="008213EE">
              <w:rPr>
                <w:rFonts w:eastAsia="Arial" w:cstheme="minorHAnsi"/>
                <w:lang w:val="en-US"/>
              </w:rPr>
              <w:t xml:space="preserve">ASC website </w:t>
            </w:r>
            <w:r w:rsidR="00495445" w:rsidRPr="008213EE">
              <w:rPr>
                <w:rFonts w:eastAsia="Arial" w:cstheme="minorHAnsi"/>
                <w:lang w:val="en-US"/>
              </w:rPr>
              <w:t>indicates</w:t>
            </w:r>
            <w:r w:rsidR="00495445">
              <w:rPr>
                <w:rFonts w:eastAsia="Arial" w:cstheme="minorHAnsi"/>
                <w:lang w:val="en-US"/>
              </w:rPr>
              <w:t>,</w:t>
            </w:r>
            <w:r w:rsidR="00940348">
              <w:rPr>
                <w:rFonts w:eastAsia="Arial" w:cstheme="minorHAnsi"/>
                <w:lang w:val="en-US"/>
              </w:rPr>
              <w:t xml:space="preserve"> on expiry,</w:t>
            </w:r>
            <w:r w:rsidRPr="008213EE">
              <w:rPr>
                <w:rFonts w:eastAsia="Arial" w:cstheme="minorHAnsi"/>
                <w:lang w:val="en-US"/>
              </w:rPr>
              <w:t xml:space="preserve"> APC not current</w:t>
            </w:r>
            <w:r w:rsidR="00CF2D6D">
              <w:rPr>
                <w:rFonts w:eastAsia="Arial" w:cstheme="minorHAnsi"/>
                <w:lang w:val="en-US"/>
              </w:rPr>
              <w:t>.</w:t>
            </w:r>
          </w:p>
          <w:p w14:paraId="51FD2882" w14:textId="56E4BBE1" w:rsidR="00F93A67" w:rsidRPr="008213EE" w:rsidRDefault="00F93A67" w:rsidP="00F93A67">
            <w:pPr>
              <w:widowControl w:val="0"/>
              <w:tabs>
                <w:tab w:val="left" w:pos="540"/>
              </w:tabs>
              <w:spacing w:before="19" w:line="276" w:lineRule="auto"/>
              <w:ind w:left="558" w:right="1029" w:hanging="340"/>
              <w:rPr>
                <w:rFonts w:eastAsia="Arial" w:cstheme="minorHAnsi"/>
                <w:lang w:val="en-US"/>
              </w:rPr>
            </w:pPr>
            <w:r w:rsidRPr="008213EE">
              <w:rPr>
                <w:rFonts w:eastAsia="Times New Roman" w:cstheme="minorHAnsi"/>
                <w:w w:val="131"/>
                <w:lang w:val="en-US"/>
              </w:rPr>
              <w:t>•</w:t>
            </w:r>
            <w:r w:rsidRPr="008213EE">
              <w:rPr>
                <w:rFonts w:eastAsia="Times New Roman" w:cstheme="minorHAnsi"/>
                <w:lang w:val="en-US"/>
              </w:rPr>
              <w:tab/>
            </w:r>
            <w:r w:rsidRPr="008213EE">
              <w:rPr>
                <w:rFonts w:eastAsia="Arial" w:cstheme="minorHAnsi"/>
                <w:lang w:val="en-US"/>
              </w:rPr>
              <w:t xml:space="preserve">Assessors advised to undertake individual </w:t>
            </w:r>
            <w:r w:rsidRPr="008213EE">
              <w:rPr>
                <w:rFonts w:eastAsia="Arial" w:cstheme="minorHAnsi"/>
                <w:spacing w:val="2"/>
                <w:lang w:val="en-US"/>
              </w:rPr>
              <w:t>m</w:t>
            </w:r>
            <w:r w:rsidRPr="008213EE">
              <w:rPr>
                <w:rFonts w:eastAsia="Arial" w:cstheme="minorHAnsi"/>
                <w:lang w:val="en-US"/>
              </w:rPr>
              <w:t xml:space="preserve">entoring from an experienced colleague, or </w:t>
            </w:r>
            <w:r w:rsidR="008358C7" w:rsidRPr="008213EE">
              <w:rPr>
                <w:rFonts w:eastAsia="Arial" w:cstheme="minorHAnsi"/>
                <w:lang w:val="en-US"/>
              </w:rPr>
              <w:t xml:space="preserve">other </w:t>
            </w:r>
            <w:r w:rsidRPr="008213EE">
              <w:rPr>
                <w:rFonts w:eastAsia="Arial" w:cstheme="minorHAnsi"/>
                <w:lang w:val="en-US"/>
              </w:rPr>
              <w:t>further training</w:t>
            </w:r>
            <w:r w:rsidR="00CF2D6D">
              <w:rPr>
                <w:rFonts w:eastAsia="Arial" w:cstheme="minorHAnsi"/>
                <w:lang w:val="en-US"/>
              </w:rPr>
              <w:t>.</w:t>
            </w:r>
          </w:p>
          <w:p w14:paraId="7807DD83" w14:textId="7420C0A8" w:rsidR="00F93A67" w:rsidRPr="008213EE" w:rsidRDefault="00F93A67" w:rsidP="00F93A67">
            <w:pPr>
              <w:widowControl w:val="0"/>
              <w:tabs>
                <w:tab w:val="left" w:pos="540"/>
              </w:tabs>
              <w:spacing w:before="18" w:line="276" w:lineRule="auto"/>
              <w:ind w:left="558" w:right="387" w:hanging="340"/>
              <w:rPr>
                <w:rFonts w:eastAsia="Arial" w:cstheme="minorHAnsi"/>
                <w:lang w:val="en-US"/>
              </w:rPr>
            </w:pPr>
            <w:r w:rsidRPr="008213EE">
              <w:rPr>
                <w:rFonts w:eastAsia="Times New Roman" w:cstheme="minorHAnsi"/>
                <w:w w:val="131"/>
                <w:lang w:val="en-US"/>
              </w:rPr>
              <w:t>•</w:t>
            </w:r>
            <w:r w:rsidRPr="008213EE">
              <w:rPr>
                <w:rFonts w:eastAsia="Times New Roman" w:cstheme="minorHAnsi"/>
                <w:lang w:val="en-US"/>
              </w:rPr>
              <w:tab/>
            </w:r>
            <w:r w:rsidRPr="008213EE">
              <w:rPr>
                <w:rFonts w:eastAsia="Arial" w:cstheme="minorHAnsi"/>
                <w:lang w:val="en-US"/>
              </w:rPr>
              <w:t>Assessors asked to provide evidence of</w:t>
            </w:r>
            <w:r w:rsidRPr="008213EE">
              <w:rPr>
                <w:rFonts w:eastAsia="Arial" w:cstheme="minorHAnsi"/>
                <w:spacing w:val="-1"/>
                <w:lang w:val="en-US"/>
              </w:rPr>
              <w:t xml:space="preserve"> </w:t>
            </w:r>
            <w:r w:rsidRPr="008213EE">
              <w:rPr>
                <w:rFonts w:eastAsia="Arial" w:cstheme="minorHAnsi"/>
                <w:lang w:val="en-US"/>
              </w:rPr>
              <w:t>mentoring or</w:t>
            </w:r>
            <w:r w:rsidR="007A0F81" w:rsidRPr="008213EE">
              <w:rPr>
                <w:rFonts w:eastAsia="Arial" w:cstheme="minorHAnsi"/>
                <w:lang w:val="en-US"/>
              </w:rPr>
              <w:t xml:space="preserve"> </w:t>
            </w:r>
            <w:r w:rsidR="008358C7" w:rsidRPr="008213EE">
              <w:rPr>
                <w:rFonts w:eastAsia="Arial" w:cstheme="minorHAnsi"/>
                <w:lang w:val="en-US"/>
              </w:rPr>
              <w:t>other</w:t>
            </w:r>
            <w:r w:rsidRPr="008213EE">
              <w:rPr>
                <w:rFonts w:eastAsia="Arial" w:cstheme="minorHAnsi"/>
                <w:lang w:val="en-US"/>
              </w:rPr>
              <w:t xml:space="preserve"> </w:t>
            </w:r>
            <w:r w:rsidR="00940348">
              <w:rPr>
                <w:rFonts w:eastAsia="Arial" w:cstheme="minorHAnsi"/>
                <w:lang w:val="en-US"/>
              </w:rPr>
              <w:t xml:space="preserve">additional </w:t>
            </w:r>
            <w:r w:rsidRPr="008213EE">
              <w:rPr>
                <w:rFonts w:eastAsia="Arial" w:cstheme="minorHAnsi"/>
                <w:lang w:val="en-US"/>
              </w:rPr>
              <w:t xml:space="preserve">training </w:t>
            </w:r>
            <w:r w:rsidR="00940348">
              <w:rPr>
                <w:rFonts w:eastAsia="Arial" w:cstheme="minorHAnsi"/>
                <w:lang w:val="en-US"/>
              </w:rPr>
              <w:t>when</w:t>
            </w:r>
            <w:r w:rsidRPr="008213EE">
              <w:rPr>
                <w:rFonts w:eastAsia="Arial" w:cstheme="minorHAnsi"/>
                <w:lang w:val="en-US"/>
              </w:rPr>
              <w:t xml:space="preserve"> re-applying for APC</w:t>
            </w:r>
            <w:r w:rsidR="00CF2D6D">
              <w:rPr>
                <w:rFonts w:eastAsia="Arial" w:cstheme="minorHAnsi"/>
                <w:lang w:val="en-US"/>
              </w:rPr>
              <w:t>.</w:t>
            </w:r>
          </w:p>
          <w:p w14:paraId="60C9E612" w14:textId="0D0EB294" w:rsidR="00F93A67" w:rsidRPr="001C4273" w:rsidRDefault="00F93A67" w:rsidP="00AE77C1">
            <w:pPr>
              <w:widowControl w:val="0"/>
              <w:tabs>
                <w:tab w:val="left" w:pos="540"/>
              </w:tabs>
              <w:spacing w:before="13" w:after="120" w:line="276" w:lineRule="auto"/>
              <w:ind w:left="218" w:right="-20"/>
              <w:rPr>
                <w:rFonts w:eastAsia="Arial" w:cstheme="minorHAnsi"/>
                <w:sz w:val="24"/>
                <w:szCs w:val="24"/>
                <w:lang w:val="en-US"/>
              </w:rPr>
            </w:pPr>
            <w:r w:rsidRPr="008213EE">
              <w:rPr>
                <w:rFonts w:eastAsia="Times New Roman" w:cstheme="minorHAnsi"/>
                <w:w w:val="131"/>
                <w:lang w:val="en-US"/>
              </w:rPr>
              <w:t>•</w:t>
            </w:r>
            <w:r w:rsidRPr="008213EE">
              <w:rPr>
                <w:rFonts w:eastAsia="Times New Roman" w:cstheme="minorHAnsi"/>
                <w:lang w:val="en-US"/>
              </w:rPr>
              <w:tab/>
            </w:r>
            <w:r w:rsidRPr="008213EE">
              <w:rPr>
                <w:rFonts w:eastAsia="Arial" w:cstheme="minorHAnsi"/>
                <w:lang w:val="en-US"/>
              </w:rPr>
              <w:t>Re-applica</w:t>
            </w:r>
            <w:r w:rsidRPr="008213EE">
              <w:rPr>
                <w:rFonts w:eastAsia="Arial" w:cstheme="minorHAnsi"/>
                <w:spacing w:val="2"/>
                <w:lang w:val="en-US"/>
              </w:rPr>
              <w:t>t</w:t>
            </w:r>
            <w:r w:rsidRPr="008213EE">
              <w:rPr>
                <w:rFonts w:eastAsia="Arial" w:cstheme="minorHAnsi"/>
                <w:lang w:val="en-US"/>
              </w:rPr>
              <w:t>ions not to be considered within 2 months</w:t>
            </w:r>
            <w:r w:rsidR="00CF2D6D">
              <w:rPr>
                <w:rFonts w:eastAsia="Arial" w:cstheme="minorHAnsi"/>
                <w:lang w:val="en-US"/>
              </w:rPr>
              <w:t>.</w:t>
            </w:r>
          </w:p>
        </w:tc>
      </w:tr>
    </w:tbl>
    <w:p w14:paraId="67D6B626" w14:textId="77777777" w:rsidR="0014658B" w:rsidRPr="00E73BC9" w:rsidRDefault="0014658B" w:rsidP="00AE741E"/>
    <w:sectPr w:rsidR="0014658B" w:rsidRPr="00E73BC9" w:rsidSect="00FE2103">
      <w:headerReference w:type="even" r:id="rId12"/>
      <w:footerReference w:type="default" r:id="rId13"/>
      <w:headerReference w:type="first" r:id="rId14"/>
      <w:pgSz w:w="11904" w:h="16834"/>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07FE" w14:textId="77777777" w:rsidR="008274D5" w:rsidRDefault="008274D5" w:rsidP="00691D93">
      <w:pPr>
        <w:spacing w:after="0" w:line="240" w:lineRule="auto"/>
      </w:pPr>
      <w:r>
        <w:separator/>
      </w:r>
    </w:p>
  </w:endnote>
  <w:endnote w:type="continuationSeparator" w:id="0">
    <w:p w14:paraId="56D2E572" w14:textId="77777777" w:rsidR="008274D5" w:rsidRDefault="008274D5" w:rsidP="0069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pleMyungjo">
    <w:altName w:val="Calibri"/>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CF11" w14:textId="316AE5C2" w:rsidR="00AE77C1" w:rsidRDefault="00594D4D" w:rsidP="00D10629">
    <w:pPr>
      <w:pStyle w:val="Footer"/>
    </w:pPr>
    <w:r>
      <w:tab/>
    </w: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64D2" w14:textId="77777777" w:rsidR="008274D5" w:rsidRDefault="008274D5" w:rsidP="00691D93">
      <w:pPr>
        <w:spacing w:after="0" w:line="240" w:lineRule="auto"/>
      </w:pPr>
      <w:r>
        <w:separator/>
      </w:r>
    </w:p>
  </w:footnote>
  <w:footnote w:type="continuationSeparator" w:id="0">
    <w:p w14:paraId="17C3E52D" w14:textId="77777777" w:rsidR="008274D5" w:rsidRDefault="008274D5" w:rsidP="0069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18C5" w14:textId="77777777" w:rsidR="000561C4" w:rsidRDefault="00F75DDF">
    <w:pPr>
      <w:pStyle w:val="Header"/>
    </w:pPr>
    <w:r>
      <w:rPr>
        <w:noProof/>
      </w:rPr>
      <w:pict w14:anchorId="4D5C2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10376" o:spid="_x0000_s1026" type="#_x0000_t136" style="position:absolute;margin-left:0;margin-top:0;width:560.35pt;height:75.7pt;rotation:315;z-index:-251655168;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A5E4" w14:textId="77777777" w:rsidR="000561C4" w:rsidRDefault="00F75DDF">
    <w:pPr>
      <w:pStyle w:val="Header"/>
    </w:pPr>
    <w:r>
      <w:rPr>
        <w:noProof/>
      </w:rPr>
      <w:pict w14:anchorId="730E0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10375" o:spid="_x0000_s1025" type="#_x0000_t136" style="position:absolute;margin-left:0;margin-top:0;width:560.35pt;height:75.7pt;rotation:315;z-index:-251657216;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120"/>
    <w:multiLevelType w:val="hybridMultilevel"/>
    <w:tmpl w:val="56A0C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4C4B"/>
    <w:multiLevelType w:val="hybridMultilevel"/>
    <w:tmpl w:val="44D0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D1703"/>
    <w:multiLevelType w:val="hybridMultilevel"/>
    <w:tmpl w:val="784C6282"/>
    <w:lvl w:ilvl="0" w:tplc="84788BB0">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0361B"/>
    <w:multiLevelType w:val="hybridMultilevel"/>
    <w:tmpl w:val="F39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31B9"/>
    <w:multiLevelType w:val="hybridMultilevel"/>
    <w:tmpl w:val="76D0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739CD"/>
    <w:multiLevelType w:val="hybridMultilevel"/>
    <w:tmpl w:val="61CA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92E7C"/>
    <w:multiLevelType w:val="hybridMultilevel"/>
    <w:tmpl w:val="032C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34DAD"/>
    <w:multiLevelType w:val="hybridMultilevel"/>
    <w:tmpl w:val="102C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5232C"/>
    <w:multiLevelType w:val="hybridMultilevel"/>
    <w:tmpl w:val="30FC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26CD4"/>
    <w:multiLevelType w:val="hybridMultilevel"/>
    <w:tmpl w:val="A624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555AD"/>
    <w:multiLevelType w:val="hybridMultilevel"/>
    <w:tmpl w:val="F82897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21EF1"/>
    <w:multiLevelType w:val="hybridMultilevel"/>
    <w:tmpl w:val="A6DA8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C0208"/>
    <w:multiLevelType w:val="hybridMultilevel"/>
    <w:tmpl w:val="30A2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05C79"/>
    <w:multiLevelType w:val="hybridMultilevel"/>
    <w:tmpl w:val="A6DA85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E9012F"/>
    <w:multiLevelType w:val="hybridMultilevel"/>
    <w:tmpl w:val="23A6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75C4F"/>
    <w:multiLevelType w:val="hybridMultilevel"/>
    <w:tmpl w:val="3A1EDA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092C08"/>
    <w:multiLevelType w:val="hybridMultilevel"/>
    <w:tmpl w:val="BED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115EA"/>
    <w:multiLevelType w:val="hybridMultilevel"/>
    <w:tmpl w:val="3D7E5B9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Arial"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Arial"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Arial" w:hint="default"/>
      </w:rPr>
    </w:lvl>
    <w:lvl w:ilvl="8" w:tplc="08090005" w:tentative="1">
      <w:start w:val="1"/>
      <w:numFmt w:val="bullet"/>
      <w:lvlText w:val=""/>
      <w:lvlJc w:val="left"/>
      <w:pPr>
        <w:ind w:left="6560" w:hanging="360"/>
      </w:pPr>
      <w:rPr>
        <w:rFonts w:ascii="Wingdings" w:hAnsi="Wingdings" w:hint="default"/>
      </w:rPr>
    </w:lvl>
  </w:abstractNum>
  <w:abstractNum w:abstractNumId="18" w15:restartNumberingAfterBreak="0">
    <w:nsid w:val="58BD144E"/>
    <w:multiLevelType w:val="hybridMultilevel"/>
    <w:tmpl w:val="32A2FC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A4095"/>
    <w:multiLevelType w:val="hybridMultilevel"/>
    <w:tmpl w:val="9D58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7063D"/>
    <w:multiLevelType w:val="hybridMultilevel"/>
    <w:tmpl w:val="1E54D340"/>
    <w:lvl w:ilvl="0" w:tplc="5CEC31D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8062B"/>
    <w:multiLevelType w:val="hybridMultilevel"/>
    <w:tmpl w:val="F4C0282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Arial"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Arial"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Arial"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73402DC4"/>
    <w:multiLevelType w:val="hybridMultilevel"/>
    <w:tmpl w:val="A744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F0054"/>
    <w:multiLevelType w:val="hybridMultilevel"/>
    <w:tmpl w:val="A672CE26"/>
    <w:lvl w:ilvl="0" w:tplc="DFFA3A2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96758067">
    <w:abstractNumId w:val="20"/>
  </w:num>
  <w:num w:numId="2" w16cid:durableId="1654334050">
    <w:abstractNumId w:val="21"/>
  </w:num>
  <w:num w:numId="3" w16cid:durableId="298338601">
    <w:abstractNumId w:val="22"/>
  </w:num>
  <w:num w:numId="4" w16cid:durableId="1867861864">
    <w:abstractNumId w:val="17"/>
  </w:num>
  <w:num w:numId="5" w16cid:durableId="816186473">
    <w:abstractNumId w:val="16"/>
  </w:num>
  <w:num w:numId="6" w16cid:durableId="779186911">
    <w:abstractNumId w:val="18"/>
  </w:num>
  <w:num w:numId="7" w16cid:durableId="394015471">
    <w:abstractNumId w:val="9"/>
  </w:num>
  <w:num w:numId="8" w16cid:durableId="1636834197">
    <w:abstractNumId w:val="7"/>
  </w:num>
  <w:num w:numId="9" w16cid:durableId="1169252225">
    <w:abstractNumId w:val="3"/>
  </w:num>
  <w:num w:numId="10" w16cid:durableId="172230801">
    <w:abstractNumId w:val="10"/>
  </w:num>
  <w:num w:numId="11" w16cid:durableId="1813330549">
    <w:abstractNumId w:val="12"/>
  </w:num>
  <w:num w:numId="12" w16cid:durableId="885023570">
    <w:abstractNumId w:val="5"/>
  </w:num>
  <w:num w:numId="13" w16cid:durableId="328481493">
    <w:abstractNumId w:val="4"/>
  </w:num>
  <w:num w:numId="14" w16cid:durableId="945191182">
    <w:abstractNumId w:val="19"/>
  </w:num>
  <w:num w:numId="15" w16cid:durableId="250429606">
    <w:abstractNumId w:val="0"/>
  </w:num>
  <w:num w:numId="16" w16cid:durableId="1248803570">
    <w:abstractNumId w:val="8"/>
  </w:num>
  <w:num w:numId="17" w16cid:durableId="1609041366">
    <w:abstractNumId w:val="13"/>
  </w:num>
  <w:num w:numId="18" w16cid:durableId="337003556">
    <w:abstractNumId w:val="6"/>
  </w:num>
  <w:num w:numId="19" w16cid:durableId="1220554110">
    <w:abstractNumId w:val="2"/>
  </w:num>
  <w:num w:numId="20" w16cid:durableId="1874801511">
    <w:abstractNumId w:val="23"/>
  </w:num>
  <w:num w:numId="21" w16cid:durableId="1892229447">
    <w:abstractNumId w:val="11"/>
  </w:num>
  <w:num w:numId="22" w16cid:durableId="845368643">
    <w:abstractNumId w:val="15"/>
  </w:num>
  <w:num w:numId="23" w16cid:durableId="1265070924">
    <w:abstractNumId w:val="1"/>
  </w:num>
  <w:num w:numId="24" w16cid:durableId="1929849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E"/>
    <w:rsid w:val="0000752F"/>
    <w:rsid w:val="00013696"/>
    <w:rsid w:val="00014B23"/>
    <w:rsid w:val="00032F0D"/>
    <w:rsid w:val="000561C4"/>
    <w:rsid w:val="00064CE9"/>
    <w:rsid w:val="00092D7C"/>
    <w:rsid w:val="000A4F83"/>
    <w:rsid w:val="000A6399"/>
    <w:rsid w:val="000B114F"/>
    <w:rsid w:val="000B4FC9"/>
    <w:rsid w:val="000B57B6"/>
    <w:rsid w:val="000B5BEA"/>
    <w:rsid w:val="000D213C"/>
    <w:rsid w:val="000D36B6"/>
    <w:rsid w:val="000E70B3"/>
    <w:rsid w:val="00112560"/>
    <w:rsid w:val="00115584"/>
    <w:rsid w:val="0013147E"/>
    <w:rsid w:val="00141552"/>
    <w:rsid w:val="0014658B"/>
    <w:rsid w:val="00166BD2"/>
    <w:rsid w:val="0017532C"/>
    <w:rsid w:val="00176DBE"/>
    <w:rsid w:val="00194400"/>
    <w:rsid w:val="001A172C"/>
    <w:rsid w:val="001C4273"/>
    <w:rsid w:val="001D0B1C"/>
    <w:rsid w:val="001D6E81"/>
    <w:rsid w:val="00245DE1"/>
    <w:rsid w:val="00251948"/>
    <w:rsid w:val="00295294"/>
    <w:rsid w:val="00295E39"/>
    <w:rsid w:val="00296BF5"/>
    <w:rsid w:val="002D6360"/>
    <w:rsid w:val="002F222A"/>
    <w:rsid w:val="002F34F4"/>
    <w:rsid w:val="00335B5D"/>
    <w:rsid w:val="00346EE3"/>
    <w:rsid w:val="00351570"/>
    <w:rsid w:val="00372676"/>
    <w:rsid w:val="003760E1"/>
    <w:rsid w:val="00397D74"/>
    <w:rsid w:val="003C0CB3"/>
    <w:rsid w:val="003D4362"/>
    <w:rsid w:val="003E7BC9"/>
    <w:rsid w:val="003F2D92"/>
    <w:rsid w:val="00441FAB"/>
    <w:rsid w:val="00442C3C"/>
    <w:rsid w:val="00445527"/>
    <w:rsid w:val="0047096D"/>
    <w:rsid w:val="00470E43"/>
    <w:rsid w:val="0048229D"/>
    <w:rsid w:val="00495445"/>
    <w:rsid w:val="004A40DD"/>
    <w:rsid w:val="004A7ED8"/>
    <w:rsid w:val="004B4F7D"/>
    <w:rsid w:val="004D1A23"/>
    <w:rsid w:val="004E13B8"/>
    <w:rsid w:val="005400FE"/>
    <w:rsid w:val="00583A81"/>
    <w:rsid w:val="00591C30"/>
    <w:rsid w:val="00594D4D"/>
    <w:rsid w:val="005E29F5"/>
    <w:rsid w:val="005F6C0A"/>
    <w:rsid w:val="00602736"/>
    <w:rsid w:val="00602976"/>
    <w:rsid w:val="006030DE"/>
    <w:rsid w:val="00615842"/>
    <w:rsid w:val="00631ECC"/>
    <w:rsid w:val="00652913"/>
    <w:rsid w:val="00654A08"/>
    <w:rsid w:val="006632F8"/>
    <w:rsid w:val="00670417"/>
    <w:rsid w:val="006755E4"/>
    <w:rsid w:val="00683A1E"/>
    <w:rsid w:val="00691D93"/>
    <w:rsid w:val="006C69E3"/>
    <w:rsid w:val="006D134C"/>
    <w:rsid w:val="006D6500"/>
    <w:rsid w:val="00704B4D"/>
    <w:rsid w:val="00706C52"/>
    <w:rsid w:val="00715CC4"/>
    <w:rsid w:val="0072522C"/>
    <w:rsid w:val="00745036"/>
    <w:rsid w:val="00750A3A"/>
    <w:rsid w:val="00753BC6"/>
    <w:rsid w:val="00774DD0"/>
    <w:rsid w:val="007753FF"/>
    <w:rsid w:val="00781684"/>
    <w:rsid w:val="007A0F81"/>
    <w:rsid w:val="007A16F8"/>
    <w:rsid w:val="007B1F20"/>
    <w:rsid w:val="007B2871"/>
    <w:rsid w:val="007B62BF"/>
    <w:rsid w:val="007B63FB"/>
    <w:rsid w:val="007B6EF9"/>
    <w:rsid w:val="007C73AF"/>
    <w:rsid w:val="007D17CD"/>
    <w:rsid w:val="007D59F1"/>
    <w:rsid w:val="007E01FE"/>
    <w:rsid w:val="007F208C"/>
    <w:rsid w:val="007F4040"/>
    <w:rsid w:val="00801FD2"/>
    <w:rsid w:val="008213EE"/>
    <w:rsid w:val="008274D5"/>
    <w:rsid w:val="008358C7"/>
    <w:rsid w:val="00853976"/>
    <w:rsid w:val="008623E0"/>
    <w:rsid w:val="008B7D09"/>
    <w:rsid w:val="008D0449"/>
    <w:rsid w:val="008D4925"/>
    <w:rsid w:val="008E17E7"/>
    <w:rsid w:val="00915013"/>
    <w:rsid w:val="00916BA1"/>
    <w:rsid w:val="00916C7C"/>
    <w:rsid w:val="00926AC2"/>
    <w:rsid w:val="00926CA8"/>
    <w:rsid w:val="00940348"/>
    <w:rsid w:val="00974DDE"/>
    <w:rsid w:val="00975FFD"/>
    <w:rsid w:val="009761E4"/>
    <w:rsid w:val="0097723D"/>
    <w:rsid w:val="009B3211"/>
    <w:rsid w:val="009D3262"/>
    <w:rsid w:val="009F22A9"/>
    <w:rsid w:val="009F6E8B"/>
    <w:rsid w:val="00A006AA"/>
    <w:rsid w:val="00A00D47"/>
    <w:rsid w:val="00A11582"/>
    <w:rsid w:val="00A13B46"/>
    <w:rsid w:val="00A75633"/>
    <w:rsid w:val="00A824D6"/>
    <w:rsid w:val="00A9177A"/>
    <w:rsid w:val="00AA6B6D"/>
    <w:rsid w:val="00AC08CC"/>
    <w:rsid w:val="00AD0FFE"/>
    <w:rsid w:val="00AD2B12"/>
    <w:rsid w:val="00AD5058"/>
    <w:rsid w:val="00AE5833"/>
    <w:rsid w:val="00AE741E"/>
    <w:rsid w:val="00AE77C1"/>
    <w:rsid w:val="00AF1F9D"/>
    <w:rsid w:val="00B02C7E"/>
    <w:rsid w:val="00B22A66"/>
    <w:rsid w:val="00B2362B"/>
    <w:rsid w:val="00B56A60"/>
    <w:rsid w:val="00B64019"/>
    <w:rsid w:val="00B732BD"/>
    <w:rsid w:val="00B947A0"/>
    <w:rsid w:val="00BA24C8"/>
    <w:rsid w:val="00BC1805"/>
    <w:rsid w:val="00BD4642"/>
    <w:rsid w:val="00BD488C"/>
    <w:rsid w:val="00BE1F5F"/>
    <w:rsid w:val="00BF0F90"/>
    <w:rsid w:val="00C00D14"/>
    <w:rsid w:val="00C02038"/>
    <w:rsid w:val="00C35EA2"/>
    <w:rsid w:val="00C41F62"/>
    <w:rsid w:val="00C54409"/>
    <w:rsid w:val="00C858BB"/>
    <w:rsid w:val="00C9141D"/>
    <w:rsid w:val="00CA3530"/>
    <w:rsid w:val="00CA6E10"/>
    <w:rsid w:val="00CC1F2D"/>
    <w:rsid w:val="00CF2D6D"/>
    <w:rsid w:val="00D10629"/>
    <w:rsid w:val="00D12CBB"/>
    <w:rsid w:val="00D22710"/>
    <w:rsid w:val="00D40403"/>
    <w:rsid w:val="00D51577"/>
    <w:rsid w:val="00D612AA"/>
    <w:rsid w:val="00D61638"/>
    <w:rsid w:val="00D64D5C"/>
    <w:rsid w:val="00D70FEB"/>
    <w:rsid w:val="00D94E4A"/>
    <w:rsid w:val="00DB1151"/>
    <w:rsid w:val="00DD02D9"/>
    <w:rsid w:val="00DD5DD7"/>
    <w:rsid w:val="00DF0A7C"/>
    <w:rsid w:val="00E17A9C"/>
    <w:rsid w:val="00E234B7"/>
    <w:rsid w:val="00E3700A"/>
    <w:rsid w:val="00E43FFD"/>
    <w:rsid w:val="00E569CB"/>
    <w:rsid w:val="00E73BC9"/>
    <w:rsid w:val="00E7673F"/>
    <w:rsid w:val="00E804D9"/>
    <w:rsid w:val="00EA4CC0"/>
    <w:rsid w:val="00EA5F2C"/>
    <w:rsid w:val="00EB2723"/>
    <w:rsid w:val="00ED64EB"/>
    <w:rsid w:val="00EE011F"/>
    <w:rsid w:val="00EE6796"/>
    <w:rsid w:val="00EF4627"/>
    <w:rsid w:val="00F02658"/>
    <w:rsid w:val="00F17679"/>
    <w:rsid w:val="00F20619"/>
    <w:rsid w:val="00F21BA3"/>
    <w:rsid w:val="00F266F4"/>
    <w:rsid w:val="00F323CE"/>
    <w:rsid w:val="00F36DB7"/>
    <w:rsid w:val="00F514D7"/>
    <w:rsid w:val="00F532A1"/>
    <w:rsid w:val="00F53776"/>
    <w:rsid w:val="00F75DDF"/>
    <w:rsid w:val="00F802D3"/>
    <w:rsid w:val="00F85ABC"/>
    <w:rsid w:val="00F93A67"/>
    <w:rsid w:val="00F96161"/>
    <w:rsid w:val="00FC5395"/>
    <w:rsid w:val="00FD175A"/>
    <w:rsid w:val="00FD2704"/>
    <w:rsid w:val="00FE2103"/>
    <w:rsid w:val="00FF6C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42FA"/>
  <w15:docId w15:val="{50606B1C-3D24-4D06-B3B4-A5611DE4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41E"/>
    <w:pPr>
      <w:widowControl w:val="0"/>
      <w:spacing w:after="0" w:line="240" w:lineRule="auto"/>
    </w:pPr>
    <w:rPr>
      <w:lang w:val="en-US"/>
    </w:rPr>
  </w:style>
  <w:style w:type="table" w:styleId="TableGrid">
    <w:name w:val="Table Grid"/>
    <w:basedOn w:val="TableNormal"/>
    <w:uiPriority w:val="59"/>
    <w:rsid w:val="00AE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41E"/>
    <w:pPr>
      <w:ind w:left="720"/>
      <w:contextualSpacing/>
    </w:pPr>
  </w:style>
  <w:style w:type="paragraph" w:styleId="Header">
    <w:name w:val="header"/>
    <w:basedOn w:val="Normal"/>
    <w:link w:val="HeaderChar"/>
    <w:uiPriority w:val="99"/>
    <w:unhideWhenUsed/>
    <w:rsid w:val="0069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D93"/>
  </w:style>
  <w:style w:type="paragraph" w:styleId="Footer">
    <w:name w:val="footer"/>
    <w:basedOn w:val="Normal"/>
    <w:link w:val="FooterChar"/>
    <w:uiPriority w:val="99"/>
    <w:unhideWhenUsed/>
    <w:rsid w:val="0069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D93"/>
  </w:style>
  <w:style w:type="character" w:styleId="CommentReference">
    <w:name w:val="annotation reference"/>
    <w:basedOn w:val="DefaultParagraphFont"/>
    <w:uiPriority w:val="99"/>
    <w:semiHidden/>
    <w:unhideWhenUsed/>
    <w:rsid w:val="00F532A1"/>
    <w:rPr>
      <w:sz w:val="18"/>
      <w:szCs w:val="18"/>
    </w:rPr>
  </w:style>
  <w:style w:type="paragraph" w:styleId="CommentText">
    <w:name w:val="annotation text"/>
    <w:basedOn w:val="Normal"/>
    <w:link w:val="CommentTextChar"/>
    <w:uiPriority w:val="99"/>
    <w:unhideWhenUsed/>
    <w:rsid w:val="00F532A1"/>
    <w:pPr>
      <w:spacing w:line="240" w:lineRule="auto"/>
    </w:pPr>
    <w:rPr>
      <w:sz w:val="24"/>
      <w:szCs w:val="24"/>
    </w:rPr>
  </w:style>
  <w:style w:type="character" w:customStyle="1" w:styleId="CommentTextChar">
    <w:name w:val="Comment Text Char"/>
    <w:basedOn w:val="DefaultParagraphFont"/>
    <w:link w:val="CommentText"/>
    <w:uiPriority w:val="99"/>
    <w:rsid w:val="00F532A1"/>
    <w:rPr>
      <w:sz w:val="24"/>
      <w:szCs w:val="24"/>
    </w:rPr>
  </w:style>
  <w:style w:type="paragraph" w:styleId="CommentSubject">
    <w:name w:val="annotation subject"/>
    <w:basedOn w:val="CommentText"/>
    <w:next w:val="CommentText"/>
    <w:link w:val="CommentSubjectChar"/>
    <w:uiPriority w:val="99"/>
    <w:semiHidden/>
    <w:unhideWhenUsed/>
    <w:rsid w:val="00F532A1"/>
    <w:rPr>
      <w:b/>
      <w:bCs/>
      <w:sz w:val="20"/>
      <w:szCs w:val="20"/>
    </w:rPr>
  </w:style>
  <w:style w:type="character" w:customStyle="1" w:styleId="CommentSubjectChar">
    <w:name w:val="Comment Subject Char"/>
    <w:basedOn w:val="CommentTextChar"/>
    <w:link w:val="CommentSubject"/>
    <w:uiPriority w:val="99"/>
    <w:semiHidden/>
    <w:rsid w:val="00F532A1"/>
    <w:rPr>
      <w:b/>
      <w:bCs/>
      <w:sz w:val="20"/>
      <w:szCs w:val="20"/>
    </w:rPr>
  </w:style>
  <w:style w:type="paragraph" w:styleId="BalloonText">
    <w:name w:val="Balloon Text"/>
    <w:basedOn w:val="Normal"/>
    <w:link w:val="BalloonTextChar"/>
    <w:uiPriority w:val="99"/>
    <w:semiHidden/>
    <w:unhideWhenUsed/>
    <w:rsid w:val="00F532A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2A1"/>
    <w:rPr>
      <w:rFonts w:ascii="Lucida Grande" w:hAnsi="Lucida Grande"/>
      <w:sz w:val="18"/>
      <w:szCs w:val="18"/>
    </w:rPr>
  </w:style>
  <w:style w:type="character" w:styleId="Hyperlink">
    <w:name w:val="Hyperlink"/>
    <w:rsid w:val="00EB2723"/>
    <w:rPr>
      <w:color w:val="0000FF"/>
      <w:u w:val="single"/>
    </w:rPr>
  </w:style>
  <w:style w:type="paragraph" w:styleId="Revision">
    <w:name w:val="Revision"/>
    <w:hidden/>
    <w:uiPriority w:val="99"/>
    <w:semiHidden/>
    <w:rsid w:val="00F53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84A9996D7BE4E89988101B28D96D2" ma:contentTypeVersion="11" ma:contentTypeDescription="Create a new document." ma:contentTypeScope="" ma:versionID="bf573bd3a9ae44f8f4ccfafb42890fcc">
  <xsd:schema xmlns:xsd="http://www.w3.org/2001/XMLSchema" xmlns:xs="http://www.w3.org/2001/XMLSchema" xmlns:p="http://schemas.microsoft.com/office/2006/metadata/properties" xmlns:ns3="419a8402-6908-40b6-b76e-8638c08b943c" xmlns:ns4="4b05bf61-b098-4041-9aab-e10286e0af0e" targetNamespace="http://schemas.microsoft.com/office/2006/metadata/properties" ma:root="true" ma:fieldsID="e65e2b8381a09303589cee013fbbd378" ns3:_="" ns4:_="">
    <xsd:import namespace="419a8402-6908-40b6-b76e-8638c08b943c"/>
    <xsd:import namespace="4b05bf61-b098-4041-9aab-e10286e0af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a8402-6908-40b6-b76e-8638c08b94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5bf61-b098-4041-9aab-e10286e0af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77E87-98D0-48C9-A034-18173454ADD3}">
  <ds:schemaRefs>
    <ds:schemaRef ds:uri="http://schemas.microsoft.com/sharepoint/v3/contenttype/forms"/>
  </ds:schemaRefs>
</ds:datastoreItem>
</file>

<file path=customXml/itemProps2.xml><?xml version="1.0" encoding="utf-8"?>
<ds:datastoreItem xmlns:ds="http://schemas.openxmlformats.org/officeDocument/2006/customXml" ds:itemID="{AF2599DC-5B40-4436-86BF-93F604BDF9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87DF4-84BD-440B-90AF-C3B4DE6F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a8402-6908-40b6-b76e-8638c08b943c"/>
    <ds:schemaRef ds:uri="4b05bf61-b098-4041-9aab-e10286e0a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1170</Words>
  <Characters>6391</Characters>
  <Application>Microsoft Office Word</Application>
  <DocSecurity>0</DocSecurity>
  <Lines>532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McDermott</dc:creator>
  <cp:keywords/>
  <dc:description/>
  <cp:lastModifiedBy>SASC</cp:lastModifiedBy>
  <cp:revision>2</cp:revision>
  <cp:lastPrinted>2019-12-03T11:20:00Z</cp:lastPrinted>
  <dcterms:created xsi:type="dcterms:W3CDTF">2025-10-06T11:09:00Z</dcterms:created>
  <dcterms:modified xsi:type="dcterms:W3CDTF">2025-10-06T11:09:00Z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0x010100EA884A9996D7BE4E89988101B28D96D2</vt:lpwstr>
  </property>
</Properties>
</file>